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4538BE" w14:textId="77777777" w:rsidR="000E21BE" w:rsidRDefault="0000000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noProof/>
        </w:rPr>
        <w:drawing>
          <wp:anchor distT="0" distB="0" distL="0" distR="0" simplePos="0" relativeHeight="251658240" behindDoc="1" locked="0" layoutInCell="1" hidden="0" allowOverlap="1" wp14:anchorId="2907058E" wp14:editId="0D6CF1FB">
            <wp:simplePos x="0" y="0"/>
            <wp:positionH relativeFrom="column">
              <wp:posOffset>-1076422</wp:posOffset>
            </wp:positionH>
            <wp:positionV relativeFrom="paragraph">
              <wp:posOffset>-896717</wp:posOffset>
            </wp:positionV>
            <wp:extent cx="7765607" cy="10049608"/>
            <wp:effectExtent l="0" t="0" r="0" b="0"/>
            <wp:wrapNone/>
            <wp:docPr id="1322569071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765607" cy="1004960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699E9295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036A5BDD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2252D8D2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5F54B838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502C2491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4883C1EA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01B315CA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4E578973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0F40DAEC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461B478E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1F94F8CA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31192DEF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2E03E76B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6D1B32F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15D3FE93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00DA017B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46778860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72B7A9A8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0AF49516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40814A1" w14:textId="354C4F6A" w:rsidR="000E21BE" w:rsidRDefault="000E21BE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250C41B3" w14:textId="305621F3" w:rsidR="000E21BE" w:rsidRDefault="000E21BE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241485E" w14:textId="200A7A1C" w:rsidR="000E21BE" w:rsidRDefault="000E21BE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7D821DE7" w14:textId="4B8F5B57" w:rsidR="000E21BE" w:rsidRDefault="00F61A7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hidden="0" allowOverlap="1" wp14:anchorId="278BD20C" wp14:editId="5BCE31D0">
                <wp:simplePos x="0" y="0"/>
                <wp:positionH relativeFrom="column">
                  <wp:posOffset>1384659</wp:posOffset>
                </wp:positionH>
                <wp:positionV relativeFrom="paragraph">
                  <wp:posOffset>446847</wp:posOffset>
                </wp:positionV>
                <wp:extent cx="2798445" cy="1404620"/>
                <wp:effectExtent l="0" t="0" r="0" b="5080"/>
                <wp:wrapSquare wrapText="bothSides" distT="45720" distB="45720" distL="114300" distR="114300"/>
                <wp:docPr id="1322569061" name="Rectángulo 13225690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98445" cy="14046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41CDBAD" w14:textId="77777777" w:rsidR="000E21BE" w:rsidRPr="006F6769" w:rsidRDefault="00000000" w:rsidP="00F61A71">
                            <w:pPr>
                              <w:textDirection w:val="btLr"/>
                              <w:rPr>
                                <w:sz w:val="16"/>
                                <w:szCs w:val="16"/>
                              </w:rPr>
                            </w:pPr>
                            <w:r w:rsidRPr="006F6769">
                              <w:rPr>
                                <w:b/>
                                <w:color w:val="002060"/>
                                <w:sz w:val="40"/>
                                <w:szCs w:val="16"/>
                              </w:rPr>
                              <w:t xml:space="preserve">Transparencia Proactiva </w:t>
                            </w:r>
                          </w:p>
                          <w:p w14:paraId="12246919" w14:textId="1AE43B21" w:rsidR="000E21BE" w:rsidRPr="006F6769" w:rsidRDefault="00AE5FEC" w:rsidP="00F61A71">
                            <w:pPr>
                              <w:textDirection w:val="btL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color w:val="002060"/>
                                <w:sz w:val="40"/>
                                <w:szCs w:val="16"/>
                              </w:rPr>
                              <w:t>Tercer</w:t>
                            </w:r>
                            <w:r w:rsidR="006F6769" w:rsidRPr="006F6769">
                              <w:rPr>
                                <w:b/>
                                <w:color w:val="002060"/>
                                <w:sz w:val="40"/>
                                <w:szCs w:val="16"/>
                              </w:rPr>
                              <w:t xml:space="preserve"> Trimestre 202</w:t>
                            </w:r>
                            <w:r w:rsidR="00E62F07" w:rsidRPr="006F6769">
                              <w:rPr>
                                <w:b/>
                                <w:color w:val="002060"/>
                                <w:sz w:val="40"/>
                                <w:szCs w:val="16"/>
                              </w:rPr>
                              <w:t>5</w:t>
                            </w: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8BD20C" id="Rectángulo 1322569061" o:spid="_x0000_s1026" style="position:absolute;margin-left:109.05pt;margin-top:35.2pt;width:220.35pt;height:110.6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" filled="f" stroked="f">
                <v:textbox inset="2.53958mm,1.2694mm,2.53958mm,1.2694mm">
                  <w:txbxContent>
                    <w:p w14:paraId="741CDBAD" w14:textId="77777777" w:rsidR="000E21BE" w:rsidRPr="006F6769" w:rsidRDefault="00000000" w:rsidP="00F61A71">
                      <w:pPr>
                        <w:textDirection w:val="btLr"/>
                        <w:rPr>
                          <w:sz w:val="16"/>
                          <w:szCs w:val="16"/>
                        </w:rPr>
                      </w:pPr>
                      <w:r w:rsidRPr="006F6769">
                        <w:rPr>
                          <w:b/>
                          <w:color w:val="002060"/>
                          <w:sz w:val="40"/>
                          <w:szCs w:val="16"/>
                        </w:rPr>
                        <w:t xml:space="preserve">Transparencia Proactiva </w:t>
                      </w:r>
                    </w:p>
                    <w:p w14:paraId="12246919" w14:textId="1AE43B21" w:rsidR="000E21BE" w:rsidRPr="006F6769" w:rsidRDefault="00AE5FEC" w:rsidP="00F61A71">
                      <w:pPr>
                        <w:textDirection w:val="btL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color w:val="002060"/>
                          <w:sz w:val="40"/>
                          <w:szCs w:val="16"/>
                        </w:rPr>
                        <w:t>Tercer</w:t>
                      </w:r>
                      <w:r w:rsidR="006F6769" w:rsidRPr="006F6769">
                        <w:rPr>
                          <w:b/>
                          <w:color w:val="002060"/>
                          <w:sz w:val="40"/>
                          <w:szCs w:val="16"/>
                        </w:rPr>
                        <w:t xml:space="preserve"> Trimestre 202</w:t>
                      </w:r>
                      <w:r w:rsidR="00E62F07" w:rsidRPr="006F6769">
                        <w:rPr>
                          <w:b/>
                          <w:color w:val="002060"/>
                          <w:sz w:val="40"/>
                          <w:szCs w:val="16"/>
                        </w:rPr>
                        <w:t>5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</w:p>
    <w:p w14:paraId="03C22C5F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spacing w:before="2"/>
        <w:rPr>
          <w:b/>
          <w:color w:val="000000"/>
          <w:sz w:val="29"/>
          <w:szCs w:val="29"/>
        </w:rPr>
        <w:sectPr w:rsidR="000E21BE">
          <w:headerReference w:type="default" r:id="rId9"/>
          <w:footerReference w:type="default" r:id="rId10"/>
          <w:pgSz w:w="12242" w:h="15842"/>
          <w:pgMar w:top="1418" w:right="1701" w:bottom="1418" w:left="1701" w:header="1134" w:footer="0" w:gutter="0"/>
          <w:pgNumType w:start="1"/>
          <w:cols w:space="720"/>
        </w:sectPr>
      </w:pPr>
    </w:p>
    <w:p w14:paraId="4B2CD8F5" w14:textId="77777777" w:rsidR="000E21BE" w:rsidRDefault="00000000" w:rsidP="0009619F">
      <w:pPr>
        <w:pStyle w:val="Ttulo1"/>
        <w:numPr>
          <w:ilvl w:val="0"/>
          <w:numId w:val="2"/>
        </w:numPr>
        <w:tabs>
          <w:tab w:val="left" w:pos="2200"/>
        </w:tabs>
        <w:ind w:left="0" w:hanging="352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Compromiso de Transparencia y Probidad</w:t>
      </w:r>
    </w:p>
    <w:p w14:paraId="128BFB6F" w14:textId="48EE77E5" w:rsidR="000E21BE" w:rsidRDefault="00000000">
      <w:pPr>
        <w:pBdr>
          <w:top w:val="nil"/>
          <w:left w:val="nil"/>
          <w:bottom w:val="nil"/>
          <w:right w:val="nil"/>
          <w:between w:val="nil"/>
        </w:pBdr>
        <w:spacing w:before="191"/>
        <w:jc w:val="both"/>
        <w:rPr>
          <w:color w:val="000000"/>
        </w:rPr>
      </w:pPr>
      <w:r>
        <w:rPr>
          <w:color w:val="000000"/>
        </w:rPr>
        <w:t>La Subsecretaría de Desarrollo Regional y Administrativo, con el objetivo de alcanzar mayores niveles de transparencia, pone a disposición de la ciudadanía la información de la ejecución presupuestaria institucional entre los años 202</w:t>
      </w:r>
      <w:r w:rsidR="00E62F07">
        <w:rPr>
          <w:color w:val="000000"/>
        </w:rPr>
        <w:t>1</w:t>
      </w:r>
      <w:r>
        <w:rPr>
          <w:color w:val="000000"/>
        </w:rPr>
        <w:t xml:space="preserve"> y 202</w:t>
      </w:r>
      <w:r w:rsidR="00E62F07">
        <w:rPr>
          <w:color w:val="000000"/>
        </w:rPr>
        <w:t>5</w:t>
      </w:r>
      <w:r>
        <w:rPr>
          <w:color w:val="000000"/>
        </w:rPr>
        <w:t>.</w:t>
      </w:r>
    </w:p>
    <w:p w14:paraId="1F398F4B" w14:textId="77777777" w:rsidR="000E21BE" w:rsidRDefault="00000000">
      <w:pPr>
        <w:pBdr>
          <w:top w:val="nil"/>
          <w:left w:val="nil"/>
          <w:bottom w:val="nil"/>
          <w:right w:val="nil"/>
          <w:between w:val="nil"/>
        </w:pBdr>
        <w:spacing w:before="155"/>
        <w:jc w:val="both"/>
        <w:rPr>
          <w:color w:val="000000"/>
        </w:rPr>
      </w:pPr>
      <w:r>
        <w:rPr>
          <w:color w:val="000000"/>
        </w:rPr>
        <w:t>Su compromiso es fortalecer la relación entre las personas y el Estado, dando a conocer en forma clara, accesible y oportuna los recursos asignados y en qué se están gastando, con base a estándares más elevados de control social demandados por la ciudadanía.</w:t>
      </w:r>
    </w:p>
    <w:p w14:paraId="7E3AEC09" w14:textId="77777777" w:rsidR="000E21BE" w:rsidRDefault="00000000">
      <w:pPr>
        <w:pBdr>
          <w:top w:val="nil"/>
          <w:left w:val="nil"/>
          <w:bottom w:val="nil"/>
          <w:right w:val="nil"/>
          <w:between w:val="nil"/>
        </w:pBdr>
        <w:spacing w:before="155"/>
        <w:jc w:val="both"/>
        <w:rPr>
          <w:color w:val="000000"/>
        </w:rPr>
      </w:pPr>
      <w:r>
        <w:rPr>
          <w:color w:val="000000"/>
        </w:rPr>
        <w:t>La información presentada a continuación ha sido elaborada a partir de la ejecución efectiva reportada a través del Sistema para la Gestión Financiera del Estado (SIGFE) y los reportes internos de seguimiento de gestión presupuestaria.</w:t>
      </w:r>
    </w:p>
    <w:p w14:paraId="357E1386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</w:p>
    <w:p w14:paraId="40BFD811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spacing w:before="9"/>
        <w:jc w:val="both"/>
        <w:rPr>
          <w:color w:val="000000"/>
          <w:sz w:val="28"/>
          <w:szCs w:val="28"/>
        </w:rPr>
      </w:pPr>
    </w:p>
    <w:p w14:paraId="1AD0DC98" w14:textId="77777777" w:rsidR="000E21BE" w:rsidRDefault="00000000">
      <w:pPr>
        <w:pStyle w:val="Ttulo1"/>
        <w:numPr>
          <w:ilvl w:val="0"/>
          <w:numId w:val="2"/>
        </w:numPr>
        <w:tabs>
          <w:tab w:val="left" w:pos="2200"/>
        </w:tabs>
        <w:ind w:left="0" w:hanging="352"/>
        <w:jc w:val="both"/>
        <w:rPr>
          <w:sz w:val="28"/>
          <w:szCs w:val="28"/>
        </w:rPr>
      </w:pPr>
      <w:r>
        <w:rPr>
          <w:sz w:val="28"/>
          <w:szCs w:val="28"/>
        </w:rPr>
        <w:t>Misión Institucional</w:t>
      </w:r>
    </w:p>
    <w:p w14:paraId="217DF618" w14:textId="610929AA" w:rsidR="000E21BE" w:rsidRDefault="00431D15">
      <w:pPr>
        <w:pBdr>
          <w:top w:val="nil"/>
          <w:left w:val="nil"/>
          <w:bottom w:val="nil"/>
          <w:right w:val="nil"/>
          <w:between w:val="nil"/>
        </w:pBdr>
        <w:spacing w:before="191"/>
        <w:jc w:val="both"/>
        <w:rPr>
          <w:color w:val="000000"/>
        </w:rPr>
      </w:pPr>
      <w:r w:rsidRPr="00431D15">
        <w:rPr>
          <w:color w:val="000000"/>
        </w:rPr>
        <w:t xml:space="preserve">La Subsecretaría de Desarrollo Regional y Administrativo es la institución pública responsable de conducir y promover el fortalecimiento de los gobiernos subnacionales y el proceso de descentralización del país. Su origen se encuentra en la Ley </w:t>
      </w:r>
      <w:proofErr w:type="spellStart"/>
      <w:r w:rsidRPr="00431D15">
        <w:rPr>
          <w:color w:val="000000"/>
        </w:rPr>
        <w:t>N°</w:t>
      </w:r>
      <w:proofErr w:type="spellEnd"/>
      <w:r w:rsidRPr="00431D15">
        <w:rPr>
          <w:color w:val="000000"/>
        </w:rPr>
        <w:t xml:space="preserve"> 18.359/1984, que crea el cargo de Subsecretario de Desarrollo Regional y Administrativo, para que fuera el colaborador inmediato del </w:t>
      </w:r>
      <w:r w:rsidR="00F61A71" w:rsidRPr="00431D15">
        <w:rPr>
          <w:color w:val="000000"/>
        </w:rPr>
        <w:t>ministro</w:t>
      </w:r>
      <w:r w:rsidRPr="00431D15">
        <w:rPr>
          <w:color w:val="000000"/>
        </w:rPr>
        <w:t xml:space="preserve"> del Interior en las materias relativas a la coordinación, impulso y evaluación del desarrollo regional, provincial y local; en las funciones de modernización y reforma administrativa y en las de estudio, apoyo técnico y administrativo derivadas de ellas. Un año después, en 1985, se dicta el D.F.L. </w:t>
      </w:r>
      <w:proofErr w:type="spellStart"/>
      <w:r w:rsidRPr="00431D15">
        <w:rPr>
          <w:color w:val="000000"/>
        </w:rPr>
        <w:t>N°</w:t>
      </w:r>
      <w:proofErr w:type="spellEnd"/>
      <w:r w:rsidRPr="00431D15">
        <w:rPr>
          <w:color w:val="000000"/>
        </w:rPr>
        <w:t xml:space="preserve"> 1-18.359, que traspasa y asigna funciones a la Subsecretaría de Desarrollo Regional y Administrativo, dando forma a nuestra actual institucionalidad. Sucesivas leyes dictadas desde esa fecha le han entregado nuevas atribuciones y funciones, reforzando su rol de fortalecimiento de las administraciones municipales y de los gobiernos regionales.</w:t>
      </w:r>
    </w:p>
    <w:p w14:paraId="15E5C4B6" w14:textId="77777777" w:rsidR="00431D15" w:rsidRDefault="00431D15">
      <w:pPr>
        <w:pBdr>
          <w:top w:val="nil"/>
          <w:left w:val="nil"/>
          <w:bottom w:val="nil"/>
          <w:right w:val="nil"/>
          <w:between w:val="nil"/>
        </w:pBdr>
        <w:spacing w:before="191"/>
        <w:jc w:val="both"/>
        <w:rPr>
          <w:color w:val="000000"/>
        </w:rPr>
      </w:pPr>
    </w:p>
    <w:p w14:paraId="7856BDD3" w14:textId="77777777" w:rsidR="000E21BE" w:rsidRDefault="00000000">
      <w:pPr>
        <w:pStyle w:val="Ttulo1"/>
        <w:numPr>
          <w:ilvl w:val="0"/>
          <w:numId w:val="2"/>
        </w:numPr>
        <w:tabs>
          <w:tab w:val="left" w:pos="2200"/>
        </w:tabs>
        <w:spacing w:before="156"/>
        <w:ind w:left="0" w:hanging="352"/>
        <w:jc w:val="both"/>
        <w:rPr>
          <w:sz w:val="28"/>
          <w:szCs w:val="28"/>
        </w:rPr>
      </w:pPr>
      <w:r>
        <w:rPr>
          <w:sz w:val="28"/>
          <w:szCs w:val="28"/>
        </w:rPr>
        <w:t>Objetivos Estratégicos Institucionales</w:t>
      </w:r>
    </w:p>
    <w:p w14:paraId="32BD2FF4" w14:textId="77777777" w:rsidR="000E21BE" w:rsidRDefault="000E21BE">
      <w:pPr>
        <w:pStyle w:val="Ttulo1"/>
        <w:tabs>
          <w:tab w:val="left" w:pos="2200"/>
        </w:tabs>
        <w:spacing w:before="156"/>
        <w:ind w:left="0" w:firstLine="0"/>
        <w:jc w:val="both"/>
        <w:rPr>
          <w:sz w:val="28"/>
          <w:szCs w:val="28"/>
        </w:rPr>
      </w:pPr>
    </w:p>
    <w:p w14:paraId="1EE5777D" w14:textId="77777777" w:rsidR="000E21BE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1775"/>
        </w:tabs>
        <w:ind w:left="0" w:hanging="275"/>
        <w:jc w:val="both"/>
      </w:pPr>
      <w:r>
        <w:rPr>
          <w:color w:val="000000"/>
        </w:rPr>
        <w:t>Proponer reformas legales, diseñar y evaluar políticas públicas que fortalezcan las competencias administrativas, económicas y políticas de los gobiernos regionales y municipios.</w:t>
      </w:r>
    </w:p>
    <w:p w14:paraId="6425B3B3" w14:textId="77777777" w:rsidR="000E21BE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1775"/>
        </w:tabs>
        <w:spacing w:before="69"/>
        <w:ind w:left="0" w:hanging="275"/>
        <w:jc w:val="both"/>
      </w:pPr>
      <w:r>
        <w:rPr>
          <w:color w:val="000000"/>
        </w:rPr>
        <w:t>Fortalecer las capacidades técnicas, institucionales y el capital humano en los Gobiernos Regionales y los municipios para el diseño e implementación de políticas, planes y programas de desarrollo regional y local, impulsando la innovación; la competitividad; la creación de redes y el fortalecimiento de los territorios.</w:t>
      </w:r>
    </w:p>
    <w:p w14:paraId="156BCA33" w14:textId="77777777" w:rsidR="000E21BE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1775"/>
        </w:tabs>
        <w:spacing w:before="69"/>
        <w:ind w:left="0" w:hanging="275"/>
        <w:jc w:val="both"/>
        <w:sectPr w:rsidR="000E21BE">
          <w:pgSz w:w="12242" w:h="15842"/>
          <w:pgMar w:top="1418" w:right="1701" w:bottom="1418" w:left="1701" w:header="1134" w:footer="0" w:gutter="0"/>
          <w:cols w:space="720"/>
        </w:sectPr>
      </w:pPr>
      <w:r>
        <w:rPr>
          <w:color w:val="000000"/>
        </w:rPr>
        <w:t>Administrar fondos de inversión e implementar la transferencia progresiva de programas sectoriales en el marco de la transferencia de servicios y competencias a los niveles regional y municipal para mejorar la focalización y la efectividad de las políticas públicas y su efecto en la calidad de vida de la población.</w:t>
      </w:r>
    </w:p>
    <w:p w14:paraId="6338B6C8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</w:p>
    <w:p w14:paraId="11C8EF99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spacing w:before="6"/>
        <w:jc w:val="both"/>
        <w:rPr>
          <w:color w:val="000000"/>
          <w:sz w:val="23"/>
          <w:szCs w:val="23"/>
        </w:rPr>
      </w:pPr>
    </w:p>
    <w:p w14:paraId="649C8B5C" w14:textId="77777777" w:rsidR="000E21BE" w:rsidRDefault="00000000">
      <w:pPr>
        <w:pStyle w:val="Ttulo1"/>
        <w:numPr>
          <w:ilvl w:val="0"/>
          <w:numId w:val="2"/>
        </w:numPr>
        <w:tabs>
          <w:tab w:val="left" w:pos="2200"/>
        </w:tabs>
        <w:ind w:left="0" w:hanging="352"/>
        <w:jc w:val="both"/>
        <w:rPr>
          <w:sz w:val="28"/>
          <w:szCs w:val="28"/>
        </w:rPr>
      </w:pPr>
      <w:r>
        <w:rPr>
          <w:sz w:val="28"/>
          <w:szCs w:val="28"/>
        </w:rPr>
        <w:t>Presupuesto</w:t>
      </w:r>
    </w:p>
    <w:p w14:paraId="649B2CE6" w14:textId="377B41D8" w:rsidR="000E21BE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1765"/>
        </w:tabs>
        <w:spacing w:before="191" w:line="261" w:lineRule="auto"/>
        <w:jc w:val="both"/>
        <w:rPr>
          <w:color w:val="000000"/>
          <w:sz w:val="23"/>
          <w:szCs w:val="23"/>
        </w:rPr>
      </w:pPr>
      <w:r>
        <w:rPr>
          <w:color w:val="000000"/>
          <w:sz w:val="21"/>
          <w:szCs w:val="21"/>
        </w:rPr>
        <w:t xml:space="preserve">El siguiente gráfico muestra un comparativo entre el presupuesto público nacional versus el presupuesto asignado a </w:t>
      </w:r>
      <w:r w:rsidR="00F61A71">
        <w:rPr>
          <w:color w:val="000000"/>
          <w:sz w:val="21"/>
          <w:szCs w:val="21"/>
        </w:rPr>
        <w:t>SUBDERE</w:t>
      </w:r>
      <w:r>
        <w:rPr>
          <w:color w:val="000000"/>
          <w:sz w:val="21"/>
          <w:szCs w:val="21"/>
        </w:rPr>
        <w:t xml:space="preserve"> en M$.</w:t>
      </w:r>
    </w:p>
    <w:p w14:paraId="14EA54DB" w14:textId="77777777" w:rsidR="000E21BE" w:rsidRDefault="000E21BE">
      <w:pPr>
        <w:jc w:val="both"/>
        <w:rPr>
          <w:sz w:val="26"/>
          <w:szCs w:val="26"/>
        </w:rPr>
      </w:pPr>
    </w:p>
    <w:p w14:paraId="185FDE02" w14:textId="77777777" w:rsidR="00395E48" w:rsidRDefault="00395E48">
      <w:pPr>
        <w:jc w:val="both"/>
        <w:rPr>
          <w:sz w:val="26"/>
          <w:szCs w:val="26"/>
        </w:rPr>
      </w:pPr>
    </w:p>
    <w:p w14:paraId="301663A6" w14:textId="499FAD77" w:rsidR="00395E48" w:rsidRDefault="00906301" w:rsidP="00906301">
      <w:pPr>
        <w:ind w:hanging="851"/>
        <w:jc w:val="center"/>
        <w:rPr>
          <w:sz w:val="26"/>
          <w:szCs w:val="26"/>
        </w:rPr>
        <w:sectPr w:rsidR="00395E48">
          <w:pgSz w:w="12242" w:h="15842"/>
          <w:pgMar w:top="1418" w:right="1701" w:bottom="1418" w:left="1701" w:header="1134" w:footer="0" w:gutter="0"/>
          <w:cols w:space="720"/>
        </w:sectPr>
      </w:pPr>
      <w:r>
        <w:rPr>
          <w:noProof/>
          <w:sz w:val="26"/>
          <w:szCs w:val="26"/>
        </w:rPr>
        <w:drawing>
          <wp:inline distT="0" distB="0" distL="0" distR="0" wp14:anchorId="637D63C5" wp14:editId="16A48686">
            <wp:extent cx="6482800" cy="3355512"/>
            <wp:effectExtent l="0" t="0" r="0" b="0"/>
            <wp:docPr id="2143216300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7145" cy="3378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5F9A6F4" w14:textId="0C59D602" w:rsidR="000E21BE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1727"/>
        </w:tabs>
        <w:spacing w:before="1"/>
        <w:jc w:val="both"/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lastRenderedPageBreak/>
        <w:t xml:space="preserve">Variación Presupuesto Asignado </w:t>
      </w:r>
      <w:proofErr w:type="spellStart"/>
      <w:r>
        <w:rPr>
          <w:color w:val="000000"/>
          <w:sz w:val="21"/>
          <w:szCs w:val="21"/>
        </w:rPr>
        <w:t>Subdere</w:t>
      </w:r>
      <w:proofErr w:type="spellEnd"/>
      <w:r>
        <w:rPr>
          <w:color w:val="000000"/>
          <w:sz w:val="21"/>
          <w:szCs w:val="21"/>
        </w:rPr>
        <w:t xml:space="preserve"> años 202</w:t>
      </w:r>
      <w:r w:rsidR="00E62F07">
        <w:rPr>
          <w:color w:val="000000"/>
          <w:sz w:val="21"/>
          <w:szCs w:val="21"/>
        </w:rPr>
        <w:t>1</w:t>
      </w:r>
      <w:r>
        <w:rPr>
          <w:color w:val="000000"/>
          <w:sz w:val="21"/>
          <w:szCs w:val="21"/>
        </w:rPr>
        <w:t>-202</w:t>
      </w:r>
      <w:r w:rsidR="00E62F07">
        <w:rPr>
          <w:color w:val="000000"/>
          <w:sz w:val="21"/>
          <w:szCs w:val="21"/>
        </w:rPr>
        <w:t>5</w:t>
      </w:r>
      <w:r>
        <w:rPr>
          <w:color w:val="000000"/>
          <w:sz w:val="21"/>
          <w:szCs w:val="21"/>
        </w:rPr>
        <w:t xml:space="preserve"> M$</w:t>
      </w:r>
    </w:p>
    <w:p w14:paraId="23507D47" w14:textId="77777777" w:rsidR="00E62F07" w:rsidRDefault="00E62F07" w:rsidP="00E62F07">
      <w:pPr>
        <w:pBdr>
          <w:top w:val="nil"/>
          <w:left w:val="nil"/>
          <w:bottom w:val="nil"/>
          <w:right w:val="nil"/>
          <w:between w:val="nil"/>
        </w:pBdr>
        <w:tabs>
          <w:tab w:val="left" w:pos="1727"/>
        </w:tabs>
        <w:spacing w:before="1"/>
        <w:jc w:val="both"/>
        <w:rPr>
          <w:color w:val="000000"/>
          <w:sz w:val="21"/>
          <w:szCs w:val="21"/>
        </w:rPr>
      </w:pPr>
    </w:p>
    <w:p w14:paraId="4C7F9D96" w14:textId="77777777" w:rsidR="00E62F07" w:rsidRDefault="00E62F07" w:rsidP="00E62F07">
      <w:pPr>
        <w:pBdr>
          <w:top w:val="nil"/>
          <w:left w:val="nil"/>
          <w:bottom w:val="nil"/>
          <w:right w:val="nil"/>
          <w:between w:val="nil"/>
        </w:pBdr>
        <w:tabs>
          <w:tab w:val="left" w:pos="1727"/>
        </w:tabs>
        <w:spacing w:before="1"/>
        <w:jc w:val="both"/>
        <w:rPr>
          <w:color w:val="000000"/>
          <w:sz w:val="21"/>
          <w:szCs w:val="21"/>
        </w:rPr>
      </w:pPr>
    </w:p>
    <w:p w14:paraId="586FBE50" w14:textId="77777777" w:rsidR="00E62F07" w:rsidRDefault="00E62F07" w:rsidP="00E62F07">
      <w:pPr>
        <w:pBdr>
          <w:top w:val="nil"/>
          <w:left w:val="nil"/>
          <w:bottom w:val="nil"/>
          <w:right w:val="nil"/>
          <w:between w:val="nil"/>
        </w:pBdr>
        <w:tabs>
          <w:tab w:val="left" w:pos="1727"/>
        </w:tabs>
        <w:spacing w:before="1"/>
        <w:jc w:val="both"/>
        <w:rPr>
          <w:color w:val="000000"/>
          <w:sz w:val="21"/>
          <w:szCs w:val="21"/>
        </w:rPr>
      </w:pPr>
    </w:p>
    <w:p w14:paraId="581A4C20" w14:textId="77777777" w:rsidR="00E62F07" w:rsidRDefault="00E62F07" w:rsidP="00E62F07">
      <w:pPr>
        <w:pBdr>
          <w:top w:val="nil"/>
          <w:left w:val="nil"/>
          <w:bottom w:val="nil"/>
          <w:right w:val="nil"/>
          <w:between w:val="nil"/>
        </w:pBdr>
        <w:tabs>
          <w:tab w:val="left" w:pos="1727"/>
        </w:tabs>
        <w:spacing w:before="1"/>
        <w:jc w:val="both"/>
        <w:rPr>
          <w:color w:val="000000"/>
          <w:sz w:val="21"/>
          <w:szCs w:val="21"/>
        </w:rPr>
      </w:pPr>
    </w:p>
    <w:p w14:paraId="3586BBB4" w14:textId="16735252" w:rsidR="000E21BE" w:rsidRDefault="00906301">
      <w:pPr>
        <w:pBdr>
          <w:top w:val="nil"/>
          <w:left w:val="nil"/>
          <w:bottom w:val="nil"/>
          <w:right w:val="nil"/>
          <w:between w:val="nil"/>
        </w:pBdr>
        <w:spacing w:before="8"/>
        <w:jc w:val="both"/>
        <w:rPr>
          <w:color w:val="000000"/>
          <w:sz w:val="20"/>
          <w:szCs w:val="20"/>
        </w:rPr>
      </w:pPr>
      <w:r>
        <w:rPr>
          <w:noProof/>
          <w:color w:val="000000"/>
          <w:sz w:val="20"/>
          <w:szCs w:val="20"/>
        </w:rPr>
        <w:drawing>
          <wp:inline distT="0" distB="0" distL="0" distR="0" wp14:anchorId="379FA7FC" wp14:editId="735EC9DF">
            <wp:extent cx="5224780" cy="3042285"/>
            <wp:effectExtent l="0" t="0" r="0" b="5715"/>
            <wp:docPr id="104996511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4780" cy="30422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CDBB2CC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spacing w:before="8"/>
        <w:jc w:val="both"/>
        <w:rPr>
          <w:color w:val="000000"/>
          <w:sz w:val="20"/>
          <w:szCs w:val="20"/>
        </w:rPr>
      </w:pPr>
    </w:p>
    <w:p w14:paraId="70935A89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spacing w:before="8"/>
        <w:jc w:val="both"/>
        <w:rPr>
          <w:color w:val="000000"/>
          <w:sz w:val="27"/>
          <w:szCs w:val="27"/>
        </w:rPr>
      </w:pPr>
    </w:p>
    <w:p w14:paraId="3FBD5402" w14:textId="77777777" w:rsidR="001725A9" w:rsidRPr="001725A9" w:rsidRDefault="00000000" w:rsidP="007F5B4F">
      <w:pPr>
        <w:widowControl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1705"/>
        </w:tabs>
        <w:spacing w:before="280" w:after="280"/>
        <w:jc w:val="both"/>
        <w:rPr>
          <w:sz w:val="21"/>
          <w:szCs w:val="21"/>
        </w:rPr>
      </w:pPr>
      <w:r w:rsidRPr="00E62F07">
        <w:rPr>
          <w:color w:val="000000"/>
          <w:sz w:val="21"/>
          <w:szCs w:val="21"/>
        </w:rPr>
        <w:t xml:space="preserve">Variación Presupuestaria </w:t>
      </w:r>
      <w:proofErr w:type="spellStart"/>
      <w:r w:rsidRPr="00E62F07">
        <w:rPr>
          <w:color w:val="000000"/>
          <w:sz w:val="21"/>
          <w:szCs w:val="21"/>
        </w:rPr>
        <w:t>Subdere</w:t>
      </w:r>
      <w:proofErr w:type="spellEnd"/>
      <w:r w:rsidRPr="00E62F07">
        <w:rPr>
          <w:color w:val="000000"/>
          <w:sz w:val="21"/>
          <w:szCs w:val="21"/>
        </w:rPr>
        <w:t xml:space="preserve"> años 202</w:t>
      </w:r>
      <w:r w:rsidR="00E62F07" w:rsidRPr="00E62F07">
        <w:rPr>
          <w:color w:val="000000"/>
          <w:sz w:val="21"/>
          <w:szCs w:val="21"/>
        </w:rPr>
        <w:t>1</w:t>
      </w:r>
      <w:r w:rsidRPr="00E62F07">
        <w:rPr>
          <w:color w:val="000000"/>
          <w:sz w:val="21"/>
          <w:szCs w:val="21"/>
        </w:rPr>
        <w:t>-202</w:t>
      </w:r>
      <w:r w:rsidR="00E62F07" w:rsidRPr="00E62F07">
        <w:rPr>
          <w:color w:val="000000"/>
          <w:sz w:val="21"/>
          <w:szCs w:val="21"/>
        </w:rPr>
        <w:t>5</w:t>
      </w:r>
    </w:p>
    <w:p w14:paraId="31DD1C66" w14:textId="58673AE8" w:rsidR="000E21BE" w:rsidRPr="00E62F07" w:rsidRDefault="00000000" w:rsidP="001725A9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1705"/>
        </w:tabs>
        <w:spacing w:before="280" w:after="280"/>
        <w:ind w:left="720"/>
        <w:jc w:val="both"/>
        <w:rPr>
          <w:sz w:val="21"/>
          <w:szCs w:val="21"/>
        </w:rPr>
      </w:pPr>
      <w:r w:rsidRPr="00E62F07">
        <w:rPr>
          <w:sz w:val="21"/>
          <w:szCs w:val="21"/>
        </w:rPr>
        <w:t xml:space="preserve">A continuación, se presenta la variación presupuestaria entre el presupuesto </w:t>
      </w:r>
      <w:r w:rsidR="002E24BA" w:rsidRPr="00E62F07">
        <w:rPr>
          <w:sz w:val="21"/>
          <w:szCs w:val="21"/>
        </w:rPr>
        <w:t>inicial, vigente</w:t>
      </w:r>
      <w:r w:rsidRPr="00E62F07">
        <w:rPr>
          <w:sz w:val="21"/>
          <w:szCs w:val="21"/>
        </w:rPr>
        <w:t xml:space="preserve"> y el ejecutado durante el período del 1 de enero al 31 de diciembre de los años 202</w:t>
      </w:r>
      <w:r w:rsidR="00906301">
        <w:rPr>
          <w:sz w:val="21"/>
          <w:szCs w:val="21"/>
        </w:rPr>
        <w:t>1</w:t>
      </w:r>
      <w:r w:rsidRPr="00E62F07">
        <w:rPr>
          <w:sz w:val="21"/>
          <w:szCs w:val="21"/>
        </w:rPr>
        <w:t xml:space="preserve"> a</w:t>
      </w:r>
      <w:r w:rsidR="00452386" w:rsidRPr="00E62F07">
        <w:rPr>
          <w:sz w:val="21"/>
          <w:szCs w:val="21"/>
        </w:rPr>
        <w:t>l</w:t>
      </w:r>
      <w:r w:rsidRPr="00E62F07">
        <w:rPr>
          <w:sz w:val="21"/>
          <w:szCs w:val="21"/>
        </w:rPr>
        <w:t xml:space="preserve"> 202</w:t>
      </w:r>
      <w:r w:rsidR="00452386" w:rsidRPr="00E62F07">
        <w:rPr>
          <w:sz w:val="21"/>
          <w:szCs w:val="21"/>
        </w:rPr>
        <w:t>4</w:t>
      </w:r>
      <w:r w:rsidR="00906301">
        <w:rPr>
          <w:sz w:val="21"/>
          <w:szCs w:val="21"/>
        </w:rPr>
        <w:t xml:space="preserve"> y hasta el 3</w:t>
      </w:r>
      <w:r w:rsidR="00E60DEA">
        <w:rPr>
          <w:sz w:val="21"/>
          <w:szCs w:val="21"/>
        </w:rPr>
        <w:t>0</w:t>
      </w:r>
      <w:r w:rsidR="00906301">
        <w:rPr>
          <w:sz w:val="21"/>
          <w:szCs w:val="21"/>
        </w:rPr>
        <w:t xml:space="preserve"> de </w:t>
      </w:r>
      <w:r w:rsidR="00E51FB9">
        <w:rPr>
          <w:sz w:val="21"/>
          <w:szCs w:val="21"/>
        </w:rPr>
        <w:t>septiembre</w:t>
      </w:r>
      <w:r w:rsidR="00906301">
        <w:rPr>
          <w:sz w:val="21"/>
          <w:szCs w:val="21"/>
        </w:rPr>
        <w:t xml:space="preserve"> del año 2025</w:t>
      </w:r>
      <w:r w:rsidR="00452386" w:rsidRPr="00E62F07">
        <w:rPr>
          <w:sz w:val="21"/>
          <w:szCs w:val="21"/>
        </w:rPr>
        <w:t>.</w:t>
      </w:r>
    </w:p>
    <w:tbl>
      <w:tblPr>
        <w:tblW w:w="892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"/>
        <w:gridCol w:w="1258"/>
        <w:gridCol w:w="1276"/>
        <w:gridCol w:w="1417"/>
        <w:gridCol w:w="1276"/>
        <w:gridCol w:w="1418"/>
        <w:gridCol w:w="1701"/>
      </w:tblGrid>
      <w:tr w:rsidR="00E60DEA" w:rsidRPr="00E60DEA" w14:paraId="5E8AF5B1" w14:textId="77777777" w:rsidTr="00686376">
        <w:trPr>
          <w:trHeight w:val="300"/>
          <w:jc w:val="center"/>
        </w:trPr>
        <w:tc>
          <w:tcPr>
            <w:tcW w:w="892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4696" w:fill="004696"/>
            <w:noWrap/>
            <w:vAlign w:val="center"/>
            <w:hideMark/>
          </w:tcPr>
          <w:p w14:paraId="1E0FC87C" w14:textId="50CEEFC9" w:rsidR="00E60DEA" w:rsidRPr="00E60DEA" w:rsidRDefault="00E60DEA" w:rsidP="00E60DEA">
            <w:pPr>
              <w:widowControl/>
              <w:jc w:val="center"/>
              <w:rPr>
                <w:rFonts w:eastAsia="Times New Roman"/>
                <w:b/>
                <w:bCs/>
                <w:color w:val="FFFFFF"/>
                <w:sz w:val="18"/>
                <w:szCs w:val="18"/>
                <w:lang w:val="es-CL"/>
              </w:rPr>
            </w:pPr>
            <w:r w:rsidRPr="00E60DEA">
              <w:rPr>
                <w:rFonts w:eastAsia="Times New Roman"/>
                <w:b/>
                <w:bCs/>
                <w:color w:val="FFFFFF"/>
                <w:sz w:val="18"/>
                <w:szCs w:val="18"/>
                <w:lang w:val="es-CL"/>
              </w:rPr>
              <w:t xml:space="preserve">Presupuesto SUBDERE 2021 al 30 de </w:t>
            </w:r>
            <w:r w:rsidR="00686376">
              <w:rPr>
                <w:rFonts w:eastAsia="Times New Roman"/>
                <w:b/>
                <w:bCs/>
                <w:color w:val="FFFFFF"/>
                <w:sz w:val="18"/>
                <w:szCs w:val="18"/>
                <w:lang w:val="es-CL"/>
              </w:rPr>
              <w:t>septiembre</w:t>
            </w:r>
            <w:r w:rsidRPr="00E60DEA">
              <w:rPr>
                <w:rFonts w:eastAsia="Times New Roman"/>
                <w:b/>
                <w:bCs/>
                <w:color w:val="FFFFFF"/>
                <w:sz w:val="18"/>
                <w:szCs w:val="18"/>
                <w:lang w:val="es-CL"/>
              </w:rPr>
              <w:t xml:space="preserve"> 2025</w:t>
            </w:r>
          </w:p>
        </w:tc>
      </w:tr>
      <w:tr w:rsidR="00E60DEA" w:rsidRPr="00E60DEA" w14:paraId="0EA0BFFE" w14:textId="77777777" w:rsidTr="00686376">
        <w:trPr>
          <w:trHeight w:val="525"/>
          <w:jc w:val="center"/>
        </w:trPr>
        <w:tc>
          <w:tcPr>
            <w:tcW w:w="5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3DEF2" w:fill="D3DEF2"/>
            <w:vAlign w:val="center"/>
            <w:hideMark/>
          </w:tcPr>
          <w:p w14:paraId="14006D6E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Año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3DEF2" w:fill="D3DEF2"/>
            <w:vAlign w:val="center"/>
            <w:hideMark/>
          </w:tcPr>
          <w:p w14:paraId="6F72DE8A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Presupuesto Inicial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3DEF2" w:fill="D3DEF2"/>
            <w:vAlign w:val="center"/>
            <w:hideMark/>
          </w:tcPr>
          <w:p w14:paraId="24D03C36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Presupuesto Vigente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3DEF2" w:fill="D3DEF2"/>
            <w:vAlign w:val="center"/>
            <w:hideMark/>
          </w:tcPr>
          <w:p w14:paraId="63A2A2A1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Presupuesto Ejecutado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3DEF2" w:fill="D3DEF2"/>
            <w:vAlign w:val="center"/>
            <w:hideMark/>
          </w:tcPr>
          <w:p w14:paraId="7145F179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% Ejecutado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3DEF2" w:fill="D3DEF2"/>
            <w:vAlign w:val="center"/>
            <w:hideMark/>
          </w:tcPr>
          <w:p w14:paraId="234D99E2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Incremento y/o reducción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3DEF2" w:fill="D3DEF2"/>
            <w:vAlign w:val="center"/>
            <w:hideMark/>
          </w:tcPr>
          <w:p w14:paraId="73152E5E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% Incremento y/o reducción</w:t>
            </w:r>
          </w:p>
        </w:tc>
      </w:tr>
      <w:tr w:rsidR="00E60DEA" w:rsidRPr="00E60DEA" w14:paraId="2120763C" w14:textId="77777777" w:rsidTr="00686376">
        <w:trPr>
          <w:trHeight w:val="315"/>
          <w:jc w:val="center"/>
        </w:trPr>
        <w:tc>
          <w:tcPr>
            <w:tcW w:w="5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F21FDB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2021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BCF152" w14:textId="4682E18A" w:rsidR="00E60DEA" w:rsidRPr="00E60DEA" w:rsidRDefault="00E60DEA" w:rsidP="00686376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699.733.127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82ABAF" w14:textId="4AB7683C" w:rsidR="00E60DEA" w:rsidRPr="00E60DEA" w:rsidRDefault="00E60DEA" w:rsidP="00686376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608.828.519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012AB2" w14:textId="59EF4013" w:rsidR="00E60DEA" w:rsidRPr="00E60DEA" w:rsidRDefault="00E60DEA" w:rsidP="00686376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563.544.737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CFCB81" w14:textId="6EFC2F5F" w:rsidR="00E60DEA" w:rsidRPr="00E60DEA" w:rsidRDefault="00E60DEA" w:rsidP="00686376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92,6%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BEC95C" w14:textId="768DB518" w:rsidR="00E60DEA" w:rsidRPr="00E60DEA" w:rsidRDefault="00E60DEA" w:rsidP="00686376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-90.904.608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3FC2C9" w14:textId="6171FC0A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-14,9%</w:t>
            </w:r>
          </w:p>
        </w:tc>
      </w:tr>
      <w:tr w:rsidR="00E60DEA" w:rsidRPr="00E60DEA" w14:paraId="0FF98B94" w14:textId="77777777" w:rsidTr="00686376">
        <w:trPr>
          <w:trHeight w:val="315"/>
          <w:jc w:val="center"/>
        </w:trPr>
        <w:tc>
          <w:tcPr>
            <w:tcW w:w="5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648DC5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2022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9FC4B1" w14:textId="462B149F" w:rsidR="00E60DEA" w:rsidRPr="00E60DEA" w:rsidRDefault="00E60DEA" w:rsidP="00686376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623.065.906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49732B" w14:textId="3CBB1B99" w:rsidR="00E60DEA" w:rsidRPr="00E60DEA" w:rsidRDefault="00E60DEA" w:rsidP="00686376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677.459.421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D433A7" w14:textId="3CBA07B3" w:rsidR="00E60DEA" w:rsidRPr="00E60DEA" w:rsidRDefault="00E60DEA" w:rsidP="00686376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674.885.719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CE713F" w14:textId="5E3F4420" w:rsidR="00E60DEA" w:rsidRPr="00E60DEA" w:rsidRDefault="00E60DEA" w:rsidP="00686376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99,6%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DB6715" w14:textId="26F055CB" w:rsidR="00E60DEA" w:rsidRPr="00E60DEA" w:rsidRDefault="00E60DEA" w:rsidP="00686376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54.393.515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0E91BA" w14:textId="3F52566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8,0%</w:t>
            </w:r>
          </w:p>
        </w:tc>
      </w:tr>
      <w:tr w:rsidR="00E60DEA" w:rsidRPr="00E60DEA" w14:paraId="49A732EB" w14:textId="77777777" w:rsidTr="00686376">
        <w:trPr>
          <w:trHeight w:val="315"/>
          <w:jc w:val="center"/>
        </w:trPr>
        <w:tc>
          <w:tcPr>
            <w:tcW w:w="5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C5BBE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2023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0883F5" w14:textId="1C0EFDAA" w:rsidR="00E60DEA" w:rsidRPr="00E60DEA" w:rsidRDefault="00E60DEA" w:rsidP="00686376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431.131.510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BB1244" w14:textId="01FB61C3" w:rsidR="00E60DEA" w:rsidRPr="00E60DEA" w:rsidRDefault="00E60DEA" w:rsidP="00686376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450.858.590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B88063" w14:textId="34806F4F" w:rsidR="00E60DEA" w:rsidRPr="00E60DEA" w:rsidRDefault="00E60DEA" w:rsidP="00686376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443.421.624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222CF5" w14:textId="032A7646" w:rsidR="00E60DEA" w:rsidRPr="00E60DEA" w:rsidRDefault="00E60DEA" w:rsidP="00686376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98,4%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23886D" w14:textId="51AFC41F" w:rsidR="00E60DEA" w:rsidRPr="00E60DEA" w:rsidRDefault="00E60DEA" w:rsidP="00686376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19.727.080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3573C6" w14:textId="5353B544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4,4%</w:t>
            </w:r>
          </w:p>
        </w:tc>
      </w:tr>
      <w:tr w:rsidR="00E60DEA" w:rsidRPr="00E60DEA" w14:paraId="1F539412" w14:textId="77777777" w:rsidTr="00686376">
        <w:trPr>
          <w:trHeight w:val="315"/>
          <w:jc w:val="center"/>
        </w:trPr>
        <w:tc>
          <w:tcPr>
            <w:tcW w:w="58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593FDB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2024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F39046" w14:textId="7A316939" w:rsidR="00E60DEA" w:rsidRPr="00E60DEA" w:rsidRDefault="00E60DEA" w:rsidP="00686376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633.374.794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F28D7F" w14:textId="652302BC" w:rsidR="00E60DEA" w:rsidRPr="00E60DEA" w:rsidRDefault="00E60DEA" w:rsidP="00686376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403.372.352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2B003B" w14:textId="50E1D8B8" w:rsidR="00E60DEA" w:rsidRPr="00E60DEA" w:rsidRDefault="00E60DEA" w:rsidP="00686376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402.180.156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B488AA" w14:textId="41A11DEF" w:rsidR="00E60DEA" w:rsidRPr="00E60DEA" w:rsidRDefault="00E60DEA" w:rsidP="00686376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99,7%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EBA232" w14:textId="2D7BECCA" w:rsidR="00E60DEA" w:rsidRPr="00E60DEA" w:rsidRDefault="00E60DEA" w:rsidP="00686376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-230.002.442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BA3A18" w14:textId="256A01BC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-57,0%</w:t>
            </w:r>
          </w:p>
        </w:tc>
      </w:tr>
      <w:tr w:rsidR="00E60DEA" w:rsidRPr="00E60DEA" w14:paraId="166C45A9" w14:textId="77777777" w:rsidTr="00686376">
        <w:trPr>
          <w:trHeight w:val="315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438D9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2025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5D384" w14:textId="608EA963" w:rsidR="00E60DEA" w:rsidRPr="00E60DEA" w:rsidRDefault="00E60DEA" w:rsidP="00686376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431.345.319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0645D" w14:textId="4EC7744A" w:rsidR="00E60DEA" w:rsidRPr="00E60DEA" w:rsidRDefault="00E60DEA" w:rsidP="00686376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44</w:t>
            </w:r>
            <w:r w:rsidR="00686376">
              <w:rPr>
                <w:rFonts w:eastAsia="Times New Roman"/>
                <w:color w:val="000000"/>
                <w:sz w:val="16"/>
                <w:szCs w:val="16"/>
                <w:lang w:val="es-CL"/>
              </w:rPr>
              <w:t>7</w:t>
            </w: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.</w:t>
            </w:r>
            <w:r w:rsidR="00686376">
              <w:rPr>
                <w:rFonts w:eastAsia="Times New Roman"/>
                <w:color w:val="000000"/>
                <w:sz w:val="16"/>
                <w:szCs w:val="16"/>
                <w:lang w:val="es-CL"/>
              </w:rPr>
              <w:t>043</w:t>
            </w: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.</w:t>
            </w:r>
            <w:r w:rsidR="00686376">
              <w:rPr>
                <w:rFonts w:eastAsia="Times New Roman"/>
                <w:color w:val="000000"/>
                <w:sz w:val="16"/>
                <w:szCs w:val="16"/>
                <w:lang w:val="es-CL"/>
              </w:rPr>
              <w:t>583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4735E6" w14:textId="270C56A4" w:rsidR="00E60DEA" w:rsidRPr="00E60DEA" w:rsidRDefault="00686376" w:rsidP="00686376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s-CL"/>
              </w:rPr>
              <w:t>284</w:t>
            </w:r>
            <w:r w:rsidR="00E60DEA"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16"/>
                <w:szCs w:val="16"/>
                <w:lang w:val="es-CL"/>
              </w:rPr>
              <w:t>000</w:t>
            </w:r>
            <w:r w:rsidR="00E60DEA"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16"/>
                <w:szCs w:val="16"/>
                <w:lang w:val="es-CL"/>
              </w:rPr>
              <w:t>347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EBAAE6" w14:textId="4F35B23E" w:rsidR="00E60DEA" w:rsidRPr="00E60DEA" w:rsidRDefault="00686376" w:rsidP="00686376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s-CL"/>
              </w:rPr>
              <w:t>63</w:t>
            </w:r>
            <w:r w:rsidR="00E60DEA"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,</w:t>
            </w:r>
            <w:r>
              <w:rPr>
                <w:rFonts w:eastAsia="Times New Roman"/>
                <w:color w:val="000000"/>
                <w:sz w:val="16"/>
                <w:szCs w:val="16"/>
                <w:lang w:val="es-CL"/>
              </w:rPr>
              <w:t>5</w:t>
            </w:r>
            <w:r w:rsidR="00E60DEA"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%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7F439" w14:textId="07F4229B" w:rsidR="00E60DEA" w:rsidRPr="00E60DEA" w:rsidRDefault="00686376" w:rsidP="00686376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s-CL"/>
              </w:rPr>
              <w:t>15</w:t>
            </w:r>
            <w:r w:rsidR="00E60DEA"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16"/>
                <w:szCs w:val="16"/>
                <w:lang w:val="es-CL"/>
              </w:rPr>
              <w:t>698</w:t>
            </w:r>
            <w:r w:rsidR="00E60DEA"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16"/>
                <w:szCs w:val="16"/>
                <w:lang w:val="es-CL"/>
              </w:rPr>
              <w:t>264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31112A" w14:textId="11047EC5" w:rsidR="00E60DEA" w:rsidRPr="00E60DEA" w:rsidRDefault="00686376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s-CL"/>
              </w:rPr>
              <w:t>3</w:t>
            </w:r>
            <w:r w:rsidR="00E60DEA"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,</w:t>
            </w:r>
            <w:r>
              <w:rPr>
                <w:rFonts w:eastAsia="Times New Roman"/>
                <w:color w:val="000000"/>
                <w:sz w:val="16"/>
                <w:szCs w:val="16"/>
                <w:lang w:val="es-CL"/>
              </w:rPr>
              <w:t>6</w:t>
            </w:r>
            <w:r w:rsidR="00E60DEA"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%</w:t>
            </w:r>
          </w:p>
        </w:tc>
      </w:tr>
    </w:tbl>
    <w:p w14:paraId="4A1DEA6D" w14:textId="05597103" w:rsidR="000E21BE" w:rsidRDefault="000E21BE">
      <w:pPr>
        <w:rPr>
          <w:sz w:val="17"/>
          <w:szCs w:val="17"/>
        </w:rPr>
      </w:pPr>
    </w:p>
    <w:p w14:paraId="1B51515B" w14:textId="77777777" w:rsidR="000E21BE" w:rsidRDefault="000E21BE">
      <w:pPr>
        <w:rPr>
          <w:sz w:val="17"/>
          <w:szCs w:val="17"/>
        </w:rPr>
      </w:pPr>
    </w:p>
    <w:p w14:paraId="19AAD4B2" w14:textId="77777777" w:rsidR="000E21BE" w:rsidRDefault="000E21BE">
      <w:pPr>
        <w:rPr>
          <w:sz w:val="17"/>
          <w:szCs w:val="17"/>
        </w:rPr>
      </w:pPr>
    </w:p>
    <w:p w14:paraId="49AE72D3" w14:textId="77777777" w:rsidR="000E21BE" w:rsidRDefault="000E21BE">
      <w:pPr>
        <w:rPr>
          <w:sz w:val="17"/>
          <w:szCs w:val="17"/>
        </w:rPr>
      </w:pPr>
    </w:p>
    <w:p w14:paraId="4477F167" w14:textId="77777777" w:rsidR="000E21BE" w:rsidRDefault="000E21BE">
      <w:pPr>
        <w:rPr>
          <w:sz w:val="21"/>
          <w:szCs w:val="21"/>
        </w:rPr>
      </w:pPr>
    </w:p>
    <w:p w14:paraId="4874D3B6" w14:textId="77777777" w:rsidR="000E21BE" w:rsidRDefault="000E21BE">
      <w:pPr>
        <w:rPr>
          <w:sz w:val="17"/>
          <w:szCs w:val="17"/>
        </w:rPr>
      </w:pPr>
    </w:p>
    <w:p w14:paraId="44EAB80C" w14:textId="77777777" w:rsidR="000E21BE" w:rsidRPr="002E24BA" w:rsidRDefault="00000000">
      <w:pPr>
        <w:rPr>
          <w:sz w:val="18"/>
          <w:szCs w:val="18"/>
        </w:rPr>
        <w:sectPr w:rsidR="000E21BE" w:rsidRPr="002E24BA">
          <w:pgSz w:w="12242" w:h="15842"/>
          <w:pgMar w:top="1418" w:right="1701" w:bottom="1418" w:left="1701" w:header="1134" w:footer="0" w:gutter="0"/>
          <w:cols w:space="720"/>
        </w:sectPr>
      </w:pPr>
      <w:r w:rsidRPr="002E24BA">
        <w:rPr>
          <w:sz w:val="18"/>
          <w:szCs w:val="18"/>
        </w:rPr>
        <w:t xml:space="preserve">La ejecución presupuestaria de los años anteriores está expresada en pesos nominales de cada año. </w:t>
      </w:r>
    </w:p>
    <w:p w14:paraId="7BA37069" w14:textId="500FE9DD" w:rsidR="000E21BE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1744"/>
        </w:tabs>
        <w:spacing w:line="280" w:lineRule="auto"/>
        <w:jc w:val="both"/>
        <w:rPr>
          <w:color w:val="000000"/>
          <w:sz w:val="23"/>
          <w:szCs w:val="23"/>
        </w:rPr>
      </w:pPr>
      <w:r>
        <w:rPr>
          <w:color w:val="000000"/>
          <w:sz w:val="21"/>
          <w:szCs w:val="21"/>
        </w:rPr>
        <w:lastRenderedPageBreak/>
        <w:t>Ejecución Presupuestaria 202</w:t>
      </w:r>
      <w:r w:rsidR="002C0CE1">
        <w:rPr>
          <w:color w:val="000000"/>
          <w:sz w:val="21"/>
          <w:szCs w:val="21"/>
        </w:rPr>
        <w:t>1</w:t>
      </w:r>
      <w:r>
        <w:rPr>
          <w:color w:val="000000"/>
          <w:sz w:val="21"/>
          <w:szCs w:val="21"/>
        </w:rPr>
        <w:t xml:space="preserve"> al 3</w:t>
      </w:r>
      <w:r w:rsidR="00E60DEA">
        <w:rPr>
          <w:color w:val="000000"/>
          <w:sz w:val="21"/>
          <w:szCs w:val="21"/>
        </w:rPr>
        <w:t>0</w:t>
      </w:r>
      <w:r>
        <w:rPr>
          <w:color w:val="000000"/>
          <w:sz w:val="21"/>
          <w:szCs w:val="21"/>
        </w:rPr>
        <w:t xml:space="preserve"> de </w:t>
      </w:r>
      <w:r w:rsidR="00686376">
        <w:rPr>
          <w:color w:val="000000"/>
          <w:sz w:val="21"/>
          <w:szCs w:val="21"/>
        </w:rPr>
        <w:t>septiembre</w:t>
      </w:r>
      <w:r>
        <w:rPr>
          <w:color w:val="000000"/>
          <w:sz w:val="21"/>
          <w:szCs w:val="21"/>
        </w:rPr>
        <w:t xml:space="preserve"> 202</w:t>
      </w:r>
      <w:r w:rsidR="002C0CE1">
        <w:rPr>
          <w:color w:val="000000"/>
          <w:sz w:val="21"/>
          <w:szCs w:val="21"/>
        </w:rPr>
        <w:t>5</w:t>
      </w:r>
    </w:p>
    <w:p w14:paraId="481C53FF" w14:textId="77777777" w:rsidR="000E21BE" w:rsidRDefault="000E21BE">
      <w:pPr>
        <w:tabs>
          <w:tab w:val="left" w:pos="1744"/>
        </w:tabs>
        <w:spacing w:line="280" w:lineRule="auto"/>
        <w:jc w:val="both"/>
        <w:rPr>
          <w:sz w:val="23"/>
          <w:szCs w:val="23"/>
        </w:rPr>
      </w:pPr>
    </w:p>
    <w:tbl>
      <w:tblPr>
        <w:tblpPr w:leftFromText="141" w:rightFromText="141" w:vertAnchor="text" w:horzAnchor="margin" w:tblpXSpec="center" w:tblpY="249"/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559"/>
        <w:gridCol w:w="1701"/>
        <w:gridCol w:w="1418"/>
        <w:gridCol w:w="1559"/>
        <w:gridCol w:w="1417"/>
      </w:tblGrid>
      <w:tr w:rsidR="00E60DEA" w:rsidRPr="00E60DEA" w14:paraId="040DB1BF" w14:textId="77777777" w:rsidTr="00E60DEA">
        <w:trPr>
          <w:trHeight w:val="315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4696" w:fill="004696"/>
            <w:noWrap/>
            <w:vAlign w:val="center"/>
            <w:hideMark/>
          </w:tcPr>
          <w:p w14:paraId="3E5CBF5A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b/>
                <w:bCs/>
                <w:color w:val="FFFFFF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b/>
                <w:bCs/>
                <w:color w:val="FFFFFF"/>
                <w:sz w:val="16"/>
                <w:szCs w:val="16"/>
                <w:lang w:val="es-CL"/>
              </w:rPr>
              <w:t>Años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4696" w:fill="004696"/>
            <w:noWrap/>
            <w:vAlign w:val="center"/>
            <w:hideMark/>
          </w:tcPr>
          <w:p w14:paraId="0725BB1D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b/>
                <w:bCs/>
                <w:color w:val="FFFFFF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b/>
                <w:bCs/>
                <w:color w:val="FFFFFF"/>
                <w:sz w:val="16"/>
                <w:szCs w:val="16"/>
                <w:lang w:val="es-CL"/>
              </w:rPr>
              <w:t>2021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4696" w:fill="004696"/>
            <w:noWrap/>
            <w:vAlign w:val="center"/>
            <w:hideMark/>
          </w:tcPr>
          <w:p w14:paraId="4D87EBBA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b/>
                <w:bCs/>
                <w:color w:val="FFFFFF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b/>
                <w:bCs/>
                <w:color w:val="FFFFFF"/>
                <w:sz w:val="16"/>
                <w:szCs w:val="16"/>
                <w:lang w:val="es-CL"/>
              </w:rPr>
              <w:t>2022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4696" w:fill="004696"/>
            <w:noWrap/>
            <w:vAlign w:val="center"/>
            <w:hideMark/>
          </w:tcPr>
          <w:p w14:paraId="726B0E24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b/>
                <w:bCs/>
                <w:color w:val="FFFFFF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b/>
                <w:bCs/>
                <w:color w:val="FFFFFF"/>
                <w:sz w:val="16"/>
                <w:szCs w:val="16"/>
                <w:lang w:val="es-CL"/>
              </w:rPr>
              <w:t>2023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4696" w:fill="004696"/>
            <w:noWrap/>
            <w:vAlign w:val="center"/>
            <w:hideMark/>
          </w:tcPr>
          <w:p w14:paraId="100A778A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b/>
                <w:bCs/>
                <w:color w:val="FFFFFF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b/>
                <w:bCs/>
                <w:color w:val="FFFFFF"/>
                <w:sz w:val="16"/>
                <w:szCs w:val="16"/>
                <w:lang w:val="es-CL"/>
              </w:rPr>
              <w:t>2024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4696" w:fill="004696"/>
            <w:noWrap/>
            <w:vAlign w:val="center"/>
            <w:hideMark/>
          </w:tcPr>
          <w:p w14:paraId="7C98915E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b/>
                <w:bCs/>
                <w:color w:val="FFFFFF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b/>
                <w:bCs/>
                <w:color w:val="FFFFFF"/>
                <w:sz w:val="16"/>
                <w:szCs w:val="16"/>
                <w:lang w:val="es-CL"/>
              </w:rPr>
              <w:t>2025</w:t>
            </w:r>
          </w:p>
        </w:tc>
      </w:tr>
      <w:tr w:rsidR="00E60DEA" w:rsidRPr="00E60DEA" w14:paraId="21428D10" w14:textId="77777777" w:rsidTr="00E60DEA">
        <w:trPr>
          <w:trHeight w:val="315"/>
        </w:trPr>
        <w:tc>
          <w:tcPr>
            <w:tcW w:w="19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3DEF2" w:fill="D3DEF2"/>
            <w:noWrap/>
            <w:vAlign w:val="center"/>
            <w:hideMark/>
          </w:tcPr>
          <w:p w14:paraId="1C68A3C3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Presupuesto Inicial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5F2C3B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699.733.127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30BCB5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623.065.906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C44D88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431.131.510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DF5C2E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633.374.794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E041A0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431.345.319</w:t>
            </w:r>
          </w:p>
        </w:tc>
      </w:tr>
      <w:tr w:rsidR="00E60DEA" w:rsidRPr="00E60DEA" w14:paraId="13B8D8C8" w14:textId="77777777" w:rsidTr="00E60DEA">
        <w:trPr>
          <w:trHeight w:val="315"/>
        </w:trPr>
        <w:tc>
          <w:tcPr>
            <w:tcW w:w="19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3DEF2" w:fill="D3DEF2"/>
            <w:noWrap/>
            <w:vAlign w:val="center"/>
            <w:hideMark/>
          </w:tcPr>
          <w:p w14:paraId="112A74E9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Presupuesto Vigente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D3B6CF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608.828.519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18E476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677.459.421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0164B8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450.858.590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81EF96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403.372.352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D13A5D" w14:textId="6FB4541A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44</w:t>
            </w:r>
            <w:r w:rsidR="00686376">
              <w:rPr>
                <w:rFonts w:eastAsia="Times New Roman"/>
                <w:color w:val="000000"/>
                <w:sz w:val="16"/>
                <w:szCs w:val="16"/>
                <w:lang w:val="es-CL"/>
              </w:rPr>
              <w:t>7</w:t>
            </w: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.</w:t>
            </w:r>
            <w:r w:rsidR="00686376">
              <w:rPr>
                <w:rFonts w:eastAsia="Times New Roman"/>
                <w:color w:val="000000"/>
                <w:sz w:val="16"/>
                <w:szCs w:val="16"/>
                <w:lang w:val="es-CL"/>
              </w:rPr>
              <w:t>043</w:t>
            </w: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.</w:t>
            </w:r>
            <w:r w:rsidR="00686376">
              <w:rPr>
                <w:rFonts w:eastAsia="Times New Roman"/>
                <w:color w:val="000000"/>
                <w:sz w:val="16"/>
                <w:szCs w:val="16"/>
                <w:lang w:val="es-CL"/>
              </w:rPr>
              <w:t>583</w:t>
            </w:r>
          </w:p>
        </w:tc>
      </w:tr>
      <w:tr w:rsidR="00E60DEA" w:rsidRPr="00E60DEA" w14:paraId="4F8CE674" w14:textId="77777777" w:rsidTr="00E60DEA">
        <w:trPr>
          <w:trHeight w:val="315"/>
        </w:trPr>
        <w:tc>
          <w:tcPr>
            <w:tcW w:w="19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3DEF2" w:fill="D3DEF2"/>
            <w:noWrap/>
            <w:vAlign w:val="center"/>
            <w:hideMark/>
          </w:tcPr>
          <w:p w14:paraId="35611FB6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Presupuesto Ejecutado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0A65A7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563.544.737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EA9E06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674.885.719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BD044D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443.421.624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5AD9B0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402.180.156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5DF501" w14:textId="468C8DA3" w:rsidR="00E60DEA" w:rsidRPr="00E60DEA" w:rsidRDefault="00686376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s-CL"/>
              </w:rPr>
              <w:t>284</w:t>
            </w:r>
            <w:r w:rsidR="00E60DEA"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16"/>
                <w:szCs w:val="16"/>
                <w:lang w:val="es-CL"/>
              </w:rPr>
              <w:t>000</w:t>
            </w:r>
            <w:r w:rsidR="00E60DEA"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16"/>
                <w:szCs w:val="16"/>
                <w:lang w:val="es-CL"/>
              </w:rPr>
              <w:t>347</w:t>
            </w:r>
          </w:p>
        </w:tc>
      </w:tr>
      <w:tr w:rsidR="00E60DEA" w:rsidRPr="00E60DEA" w14:paraId="25042D20" w14:textId="77777777" w:rsidTr="00E60DEA">
        <w:trPr>
          <w:trHeight w:val="315"/>
        </w:trPr>
        <w:tc>
          <w:tcPr>
            <w:tcW w:w="19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3DEF2" w:fill="D3DEF2"/>
            <w:noWrap/>
            <w:vAlign w:val="center"/>
            <w:hideMark/>
          </w:tcPr>
          <w:p w14:paraId="6B71C7BB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% de Ejecución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0837BD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92,6%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4F093A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99,6%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21DF6C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98,4%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84F48C" w14:textId="77777777" w:rsidR="00E60DEA" w:rsidRPr="00E60DEA" w:rsidRDefault="00E60DEA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99,7%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A66F2E" w14:textId="468C4689" w:rsidR="00E60DEA" w:rsidRPr="00E60DEA" w:rsidRDefault="00686376" w:rsidP="00E60DEA">
            <w:pPr>
              <w:widowControl/>
              <w:jc w:val="center"/>
              <w:rPr>
                <w:rFonts w:eastAsia="Times New Roman"/>
                <w:color w:val="000000"/>
                <w:sz w:val="16"/>
                <w:szCs w:val="16"/>
                <w:lang w:val="es-CL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s-CL"/>
              </w:rPr>
              <w:t>63</w:t>
            </w:r>
            <w:r w:rsidR="00E60DEA"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,</w:t>
            </w:r>
            <w:r>
              <w:rPr>
                <w:rFonts w:eastAsia="Times New Roman"/>
                <w:color w:val="000000"/>
                <w:sz w:val="16"/>
                <w:szCs w:val="16"/>
                <w:lang w:val="es-CL"/>
              </w:rPr>
              <w:t>5</w:t>
            </w:r>
            <w:r w:rsidR="00E60DEA" w:rsidRPr="00E60DEA">
              <w:rPr>
                <w:rFonts w:eastAsia="Times New Roman"/>
                <w:color w:val="000000"/>
                <w:sz w:val="16"/>
                <w:szCs w:val="16"/>
                <w:lang w:val="es-CL"/>
              </w:rPr>
              <w:t>%</w:t>
            </w:r>
          </w:p>
        </w:tc>
      </w:tr>
    </w:tbl>
    <w:p w14:paraId="503973E7" w14:textId="78BD063F" w:rsidR="000E21BE" w:rsidRDefault="000E21BE" w:rsidP="00431D15">
      <w:pPr>
        <w:tabs>
          <w:tab w:val="left" w:pos="1744"/>
        </w:tabs>
        <w:spacing w:line="280" w:lineRule="auto"/>
        <w:jc w:val="center"/>
        <w:rPr>
          <w:sz w:val="23"/>
          <w:szCs w:val="23"/>
        </w:rPr>
      </w:pPr>
    </w:p>
    <w:p w14:paraId="47204E31" w14:textId="65A966B6" w:rsidR="000E21BE" w:rsidRDefault="00F6408F" w:rsidP="00F6408F">
      <w:pPr>
        <w:tabs>
          <w:tab w:val="left" w:pos="1744"/>
        </w:tabs>
        <w:spacing w:line="280" w:lineRule="auto"/>
        <w:ind w:hanging="426"/>
        <w:jc w:val="both"/>
        <w:rPr>
          <w:sz w:val="23"/>
          <w:szCs w:val="23"/>
        </w:rPr>
      </w:pPr>
      <w:r>
        <w:rPr>
          <w:noProof/>
        </w:rPr>
        <w:drawing>
          <wp:inline distT="0" distB="0" distL="0" distR="0" wp14:anchorId="2ED62EB6" wp14:editId="3781EE28">
            <wp:extent cx="6154310" cy="2615565"/>
            <wp:effectExtent l="0" t="0" r="18415" b="13335"/>
            <wp:docPr id="223233338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93362C4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3D648F82" w14:textId="4256E3FC" w:rsidR="000E21BE" w:rsidRDefault="000E21BE" w:rsidP="00452012">
      <w:pPr>
        <w:pBdr>
          <w:top w:val="nil"/>
          <w:left w:val="nil"/>
          <w:bottom w:val="nil"/>
          <w:right w:val="nil"/>
          <w:between w:val="nil"/>
        </w:pBdr>
        <w:spacing w:before="2"/>
        <w:jc w:val="center"/>
        <w:rPr>
          <w:color w:val="000000"/>
          <w:sz w:val="12"/>
          <w:szCs w:val="12"/>
        </w:rPr>
      </w:pPr>
    </w:p>
    <w:p w14:paraId="55E242AB" w14:textId="77777777" w:rsidR="000E21BE" w:rsidRDefault="000E21BE">
      <w:pPr>
        <w:jc w:val="both"/>
        <w:rPr>
          <w:sz w:val="21"/>
          <w:szCs w:val="21"/>
        </w:rPr>
      </w:pPr>
    </w:p>
    <w:p w14:paraId="64248F28" w14:textId="22CE4EFF" w:rsidR="000E21BE" w:rsidRDefault="000E21BE" w:rsidP="002C0CE1">
      <w:pPr>
        <w:jc w:val="center"/>
        <w:rPr>
          <w:sz w:val="12"/>
          <w:szCs w:val="12"/>
        </w:rPr>
      </w:pPr>
    </w:p>
    <w:p w14:paraId="6994E717" w14:textId="77777777" w:rsidR="000E21BE" w:rsidRDefault="000E21BE">
      <w:pPr>
        <w:rPr>
          <w:sz w:val="12"/>
          <w:szCs w:val="12"/>
        </w:rPr>
      </w:pPr>
    </w:p>
    <w:p w14:paraId="10725D56" w14:textId="77777777" w:rsidR="000E21BE" w:rsidRDefault="000E21BE">
      <w:pPr>
        <w:rPr>
          <w:sz w:val="12"/>
          <w:szCs w:val="12"/>
        </w:rPr>
      </w:pPr>
    </w:p>
    <w:p w14:paraId="0E736903" w14:textId="77777777" w:rsidR="000E21BE" w:rsidRDefault="000E21BE">
      <w:pPr>
        <w:rPr>
          <w:sz w:val="12"/>
          <w:szCs w:val="12"/>
        </w:rPr>
      </w:pPr>
    </w:p>
    <w:p w14:paraId="7C90577A" w14:textId="77777777" w:rsidR="000E21BE" w:rsidRDefault="000E21BE">
      <w:pPr>
        <w:rPr>
          <w:sz w:val="21"/>
          <w:szCs w:val="21"/>
        </w:rPr>
      </w:pPr>
    </w:p>
    <w:p w14:paraId="4878D6C9" w14:textId="77777777" w:rsidR="000E21BE" w:rsidRDefault="000E21BE">
      <w:pPr>
        <w:rPr>
          <w:sz w:val="21"/>
          <w:szCs w:val="21"/>
        </w:rPr>
      </w:pPr>
    </w:p>
    <w:p w14:paraId="5ED4B369" w14:textId="77777777" w:rsidR="000E21BE" w:rsidRDefault="00000000">
      <w:pPr>
        <w:tabs>
          <w:tab w:val="left" w:pos="679"/>
        </w:tabs>
        <w:rPr>
          <w:sz w:val="21"/>
          <w:szCs w:val="21"/>
        </w:rPr>
        <w:sectPr w:rsidR="000E21BE">
          <w:pgSz w:w="12242" w:h="15842"/>
          <w:pgMar w:top="1418" w:right="1701" w:bottom="1418" w:left="1701" w:header="1134" w:footer="0" w:gutter="0"/>
          <w:cols w:space="720"/>
        </w:sectPr>
      </w:pPr>
      <w:r>
        <w:rPr>
          <w:sz w:val="21"/>
          <w:szCs w:val="21"/>
        </w:rPr>
        <w:tab/>
      </w:r>
    </w:p>
    <w:p w14:paraId="20F3AD8C" w14:textId="35B5A7E0" w:rsidR="000E21BE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1780"/>
        </w:tabs>
        <w:spacing w:line="327" w:lineRule="auto"/>
        <w:jc w:val="both"/>
      </w:pPr>
      <w:r>
        <w:rPr>
          <w:color w:val="000000"/>
        </w:rPr>
        <w:lastRenderedPageBreak/>
        <w:t>Ejecución presupuestaria por subtítulo de gasto 202</w:t>
      </w:r>
      <w:r w:rsidR="009D12D9">
        <w:rPr>
          <w:color w:val="000000"/>
        </w:rPr>
        <w:t>5</w:t>
      </w:r>
    </w:p>
    <w:p w14:paraId="3F5584A3" w14:textId="77777777" w:rsidR="000E21BE" w:rsidRDefault="00000000">
      <w:pPr>
        <w:pBdr>
          <w:top w:val="nil"/>
          <w:left w:val="nil"/>
          <w:bottom w:val="nil"/>
          <w:right w:val="nil"/>
          <w:between w:val="nil"/>
        </w:pBdr>
        <w:spacing w:before="186" w:line="264" w:lineRule="auto"/>
        <w:jc w:val="both"/>
        <w:rPr>
          <w:color w:val="000000"/>
        </w:rPr>
      </w:pPr>
      <w:r>
        <w:rPr>
          <w:color w:val="000000"/>
        </w:rPr>
        <w:t>Los subtítulos de gastos según la definición del clasificador presupuestario del sector público son los siguientes:</w:t>
      </w:r>
    </w:p>
    <w:p w14:paraId="4ECE4492" w14:textId="77777777" w:rsidR="000E21BE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2200"/>
        </w:tabs>
        <w:spacing w:before="156" w:line="244" w:lineRule="auto"/>
        <w:jc w:val="both"/>
      </w:pPr>
      <w:r>
        <w:rPr>
          <w:b/>
          <w:color w:val="000000"/>
        </w:rPr>
        <w:t>Subtítulo 21</w:t>
      </w:r>
      <w:r>
        <w:rPr>
          <w:color w:val="000000"/>
        </w:rPr>
        <w:t>: Gastos en Personal: Comprende todos los gastos que, por concepto de remuneraciones, aportes del empleador y otros gastos relativos al personal, consultan los organismos del sector público para el pago del personal en actividad.</w:t>
      </w:r>
    </w:p>
    <w:p w14:paraId="5A296955" w14:textId="77777777" w:rsidR="000E21BE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2200"/>
        </w:tabs>
        <w:spacing w:line="244" w:lineRule="auto"/>
        <w:jc w:val="both"/>
      </w:pPr>
      <w:r>
        <w:rPr>
          <w:b/>
          <w:color w:val="000000"/>
        </w:rPr>
        <w:t>Subtítulo 22</w:t>
      </w:r>
      <w:r>
        <w:rPr>
          <w:color w:val="000000"/>
        </w:rPr>
        <w:t>: Comprende los gastos por adquisiciones de bienes de consumo y servicios no personales, necesarios para el cumplimiento de las funciones y actividades de los organismos del sector público.</w:t>
      </w:r>
    </w:p>
    <w:p w14:paraId="01BAC8FC" w14:textId="77777777" w:rsidR="000E21BE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2200"/>
        </w:tabs>
        <w:spacing w:line="264" w:lineRule="auto"/>
        <w:jc w:val="both"/>
      </w:pPr>
      <w:r>
        <w:rPr>
          <w:b/>
          <w:color w:val="000000"/>
        </w:rPr>
        <w:t>Subtítulo 23</w:t>
      </w:r>
      <w:r>
        <w:rPr>
          <w:color w:val="000000"/>
        </w:rPr>
        <w:t>: Son los gastos por concepto de jubilaciones, pensiones, montepíos, desahucios y en general cualquier beneficio de similar naturaleza, que se encuentren condicionados al pago previo de un aporte, por parte del beneficiario. También, se imputarán a este ítem los desahucios e indemnizaciones establecidos en estatutos especiales del personal de algunos organismos del sector público; indemnizaciones y rentas vitalicias por fallecimientos en actos de servicio.</w:t>
      </w:r>
    </w:p>
    <w:p w14:paraId="75BD1C9F" w14:textId="77777777" w:rsidR="000E21BE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2200"/>
        </w:tabs>
        <w:spacing w:before="1" w:line="244" w:lineRule="auto"/>
        <w:jc w:val="both"/>
      </w:pPr>
      <w:r>
        <w:rPr>
          <w:b/>
          <w:color w:val="000000"/>
        </w:rPr>
        <w:t>Subtítulo. 24</w:t>
      </w:r>
      <w:r>
        <w:rPr>
          <w:color w:val="000000"/>
        </w:rPr>
        <w:t>: Comprende los gastos correspondientes a donaciones u otras transferencias corrientes que no representan la contraprestación de bienes o servicios. Incluye aportes de carácter institucional y otros para financiar gastos corrientes de instituciones públicas y del sector externo.</w:t>
      </w:r>
    </w:p>
    <w:p w14:paraId="72FFFEFD" w14:textId="77777777" w:rsidR="000E21BE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2200"/>
        </w:tabs>
        <w:spacing w:line="244" w:lineRule="auto"/>
        <w:jc w:val="both"/>
      </w:pPr>
      <w:r>
        <w:rPr>
          <w:b/>
          <w:color w:val="000000"/>
        </w:rPr>
        <w:t>Subtítulo 25</w:t>
      </w:r>
      <w:r>
        <w:rPr>
          <w:color w:val="000000"/>
        </w:rPr>
        <w:t>: Corresponde a los pagos a la Tesorería Fiscal. Incluye las entregas, que de acuerdo con los artículos 29 y 29 bis del D.L. N.º 1.263 de 1975, deban ingresarse a rentas generales de la Nación.</w:t>
      </w:r>
    </w:p>
    <w:p w14:paraId="61E63129" w14:textId="77777777" w:rsidR="000E21BE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2200"/>
        </w:tabs>
        <w:spacing w:line="244" w:lineRule="auto"/>
        <w:jc w:val="both"/>
      </w:pPr>
      <w:r>
        <w:rPr>
          <w:b/>
          <w:color w:val="000000"/>
        </w:rPr>
        <w:t xml:space="preserve">Subtítulo 26: </w:t>
      </w:r>
      <w:r>
        <w:rPr>
          <w:color w:val="000000"/>
        </w:rPr>
        <w:t>Comprende las devoluciones de gravámenes, contribuciones pagadas en exceso, retenciones, garantías, descuentos indebidos, reembolsos y otros.</w:t>
      </w:r>
    </w:p>
    <w:p w14:paraId="56F8D878" w14:textId="77777777" w:rsidR="000E21BE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2200"/>
        </w:tabs>
        <w:spacing w:line="244" w:lineRule="auto"/>
        <w:jc w:val="both"/>
      </w:pPr>
      <w:r>
        <w:rPr>
          <w:b/>
          <w:color w:val="000000"/>
        </w:rPr>
        <w:t>Subtítulo 29</w:t>
      </w:r>
      <w:r>
        <w:rPr>
          <w:color w:val="000000"/>
        </w:rPr>
        <w:t>: Comprende los gastos para formación de capital y compra de activos físicos existentes.</w:t>
      </w:r>
    </w:p>
    <w:p w14:paraId="239566FC" w14:textId="77777777" w:rsidR="000E21BE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2200"/>
        </w:tabs>
        <w:spacing w:line="244" w:lineRule="auto"/>
        <w:jc w:val="both"/>
      </w:pPr>
      <w:r>
        <w:rPr>
          <w:b/>
          <w:color w:val="000000"/>
        </w:rPr>
        <w:t>Subtítulo 30</w:t>
      </w:r>
      <w:r>
        <w:rPr>
          <w:color w:val="000000"/>
        </w:rPr>
        <w:t>: Comprende los gastos asociados a la compra de valores mobiliarios e instrumentos financieros que no se liquiden, vendan o rescaten al 31 de diciembre del año en curso.</w:t>
      </w:r>
    </w:p>
    <w:p w14:paraId="359CA0E6" w14:textId="77777777" w:rsidR="000E21BE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2200"/>
        </w:tabs>
        <w:spacing w:before="2"/>
        <w:jc w:val="both"/>
      </w:pPr>
      <w:r>
        <w:rPr>
          <w:b/>
          <w:color w:val="000000"/>
        </w:rPr>
        <w:t>Subtítulo 32</w:t>
      </w:r>
      <w:r>
        <w:rPr>
          <w:color w:val="000000"/>
        </w:rPr>
        <w:t>: Comprende los gastos realizados por otorgamiento de préstamos.</w:t>
      </w:r>
    </w:p>
    <w:p w14:paraId="54D558BE" w14:textId="77777777" w:rsidR="000E21BE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2200"/>
          <w:tab w:val="left" w:pos="9527"/>
        </w:tabs>
        <w:spacing w:before="5" w:line="244" w:lineRule="auto"/>
        <w:jc w:val="both"/>
      </w:pPr>
      <w:r>
        <w:rPr>
          <w:b/>
          <w:color w:val="000000"/>
        </w:rPr>
        <w:t>Subtítulo 33</w:t>
      </w:r>
      <w:r>
        <w:rPr>
          <w:color w:val="000000"/>
        </w:rPr>
        <w:t>: Comprende todo desembolso financiero, que no supone la contraprestación de bienes servicios, destinado a gastos de inversión o a la formación de capital.</w:t>
      </w:r>
    </w:p>
    <w:p w14:paraId="17BA4BEA" w14:textId="77777777" w:rsidR="000E21BE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2200"/>
        </w:tabs>
        <w:spacing w:before="6" w:line="244" w:lineRule="auto"/>
        <w:jc w:val="both"/>
      </w:pPr>
      <w:r>
        <w:rPr>
          <w:b/>
          <w:color w:val="000000"/>
        </w:rPr>
        <w:t>Subtítulo 34</w:t>
      </w:r>
      <w:r>
        <w:rPr>
          <w:color w:val="000000"/>
        </w:rPr>
        <w:t>: Desembolsos financieros, consistentes en amortizaciones, intereses y otros gastos originados por endeudamiento interno o externo. Este subtítulo también contempla la Deuda Flotante, que corresponde a los compromisos devengados y no pagados al 31 de diciembre de cada año. Comprende el gasto pendiente de pago de todos los subtítulos, que se traspasan al año siguiente a este ítem.</w:t>
      </w:r>
    </w:p>
    <w:p w14:paraId="60FF1025" w14:textId="77777777" w:rsidR="000E21BE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2200"/>
        </w:tabs>
        <w:jc w:val="both"/>
        <w:sectPr w:rsidR="000E21BE">
          <w:pgSz w:w="12242" w:h="15842"/>
          <w:pgMar w:top="1418" w:right="1701" w:bottom="1418" w:left="1701" w:header="1134" w:footer="0" w:gutter="0"/>
          <w:cols w:space="720"/>
        </w:sectPr>
      </w:pPr>
      <w:r>
        <w:rPr>
          <w:b/>
          <w:color w:val="000000"/>
        </w:rPr>
        <w:t>Subtítulo 35</w:t>
      </w:r>
      <w:r>
        <w:rPr>
          <w:color w:val="000000"/>
        </w:rPr>
        <w:t>: Estimación al 31 de diciembre del ejercicio presupuestario.</w:t>
      </w:r>
    </w:p>
    <w:p w14:paraId="341B47DD" w14:textId="4E8CDD67" w:rsidR="000E21BE" w:rsidRDefault="00000000">
      <w:pPr>
        <w:pBdr>
          <w:top w:val="nil"/>
          <w:left w:val="nil"/>
          <w:bottom w:val="nil"/>
          <w:right w:val="nil"/>
          <w:between w:val="nil"/>
        </w:pBdr>
        <w:spacing w:line="264" w:lineRule="auto"/>
        <w:jc w:val="both"/>
        <w:rPr>
          <w:color w:val="000000"/>
        </w:rPr>
      </w:pPr>
      <w:r>
        <w:rPr>
          <w:color w:val="000000"/>
        </w:rPr>
        <w:lastRenderedPageBreak/>
        <w:t>A continuación, se muestra la ejecución anual de los gastos correspondientes a esta Subsecretaría por subtítulos de gastos y presentados en M$, período 202</w:t>
      </w:r>
      <w:r w:rsidR="00CE40E4">
        <w:rPr>
          <w:color w:val="000000"/>
        </w:rPr>
        <w:t>1</w:t>
      </w:r>
      <w:r>
        <w:rPr>
          <w:color w:val="000000"/>
        </w:rPr>
        <w:t xml:space="preserve"> </w:t>
      </w:r>
      <w:r w:rsidR="00CE40E4">
        <w:rPr>
          <w:color w:val="000000"/>
        </w:rPr>
        <w:t>–</w:t>
      </w:r>
      <w:r>
        <w:rPr>
          <w:color w:val="000000"/>
        </w:rPr>
        <w:t xml:space="preserve"> </w:t>
      </w:r>
      <w:r w:rsidR="00CE40E4">
        <w:rPr>
          <w:color w:val="000000"/>
        </w:rPr>
        <w:t>3</w:t>
      </w:r>
      <w:r w:rsidR="005F3674">
        <w:rPr>
          <w:color w:val="000000"/>
        </w:rPr>
        <w:t>0</w:t>
      </w:r>
      <w:r w:rsidR="00CE40E4">
        <w:rPr>
          <w:color w:val="000000"/>
        </w:rPr>
        <w:t>-0</w:t>
      </w:r>
      <w:r w:rsidR="00F6408F">
        <w:rPr>
          <w:color w:val="000000"/>
        </w:rPr>
        <w:t>9</w:t>
      </w:r>
      <w:r w:rsidR="00CE40E4">
        <w:rPr>
          <w:color w:val="000000"/>
        </w:rPr>
        <w:t>-</w:t>
      </w:r>
      <w:r>
        <w:rPr>
          <w:color w:val="000000"/>
        </w:rPr>
        <w:t>202</w:t>
      </w:r>
      <w:r w:rsidR="00CE40E4">
        <w:rPr>
          <w:color w:val="000000"/>
        </w:rPr>
        <w:t>5</w:t>
      </w:r>
      <w:r>
        <w:rPr>
          <w:color w:val="000000"/>
        </w:rPr>
        <w:t>.</w:t>
      </w:r>
    </w:p>
    <w:p w14:paraId="15A0BCC2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</w:p>
    <w:tbl>
      <w:tblPr>
        <w:tblW w:w="1014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"/>
        <w:gridCol w:w="3571"/>
        <w:gridCol w:w="1210"/>
        <w:gridCol w:w="1210"/>
        <w:gridCol w:w="1210"/>
        <w:gridCol w:w="1210"/>
        <w:gridCol w:w="1210"/>
      </w:tblGrid>
      <w:tr w:rsidR="005F3674" w:rsidRPr="005F3674" w14:paraId="4B9DF772" w14:textId="77777777" w:rsidTr="005F3674">
        <w:trPr>
          <w:trHeight w:val="300"/>
          <w:jc w:val="center"/>
        </w:trPr>
        <w:tc>
          <w:tcPr>
            <w:tcW w:w="1014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4696" w:fill="004696"/>
            <w:noWrap/>
            <w:vAlign w:val="bottom"/>
            <w:hideMark/>
          </w:tcPr>
          <w:p w14:paraId="56671503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b/>
                <w:bCs/>
                <w:color w:val="FFFFFF"/>
                <w:sz w:val="20"/>
                <w:szCs w:val="20"/>
                <w:lang w:val="es-CL"/>
              </w:rPr>
            </w:pPr>
            <w:r w:rsidRPr="005F3674">
              <w:rPr>
                <w:rFonts w:eastAsia="Times New Roman"/>
                <w:b/>
                <w:bCs/>
                <w:color w:val="FFFFFF"/>
                <w:sz w:val="20"/>
                <w:szCs w:val="20"/>
                <w:lang w:val="es-CL"/>
              </w:rPr>
              <w:t>Presupuesto Ejecutado por Subtítulo M$</w:t>
            </w:r>
          </w:p>
        </w:tc>
      </w:tr>
      <w:tr w:rsidR="005F3674" w:rsidRPr="005F3674" w14:paraId="5CF2376D" w14:textId="77777777" w:rsidTr="005F3674">
        <w:trPr>
          <w:trHeight w:val="300"/>
          <w:jc w:val="center"/>
        </w:trPr>
        <w:tc>
          <w:tcPr>
            <w:tcW w:w="52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3DEF2" w:fill="D3DEF2"/>
            <w:noWrap/>
            <w:vAlign w:val="center"/>
            <w:hideMark/>
          </w:tcPr>
          <w:p w14:paraId="062AA4B6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Subt.</w:t>
            </w:r>
          </w:p>
        </w:tc>
        <w:tc>
          <w:tcPr>
            <w:tcW w:w="35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3DEF2" w:fill="D3DEF2"/>
            <w:noWrap/>
            <w:vAlign w:val="center"/>
            <w:hideMark/>
          </w:tcPr>
          <w:p w14:paraId="2CFD9ADB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Año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3DEF2" w:fill="D3DEF2"/>
            <w:noWrap/>
            <w:vAlign w:val="center"/>
            <w:hideMark/>
          </w:tcPr>
          <w:p w14:paraId="182A9B01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2021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3DEF2" w:fill="D3DEF2"/>
            <w:noWrap/>
            <w:vAlign w:val="center"/>
            <w:hideMark/>
          </w:tcPr>
          <w:p w14:paraId="358927DE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2022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3DEF2" w:fill="D3DEF2"/>
            <w:noWrap/>
            <w:vAlign w:val="center"/>
            <w:hideMark/>
          </w:tcPr>
          <w:p w14:paraId="69CB3375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2023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3DEF2" w:fill="D3DEF2"/>
            <w:noWrap/>
            <w:vAlign w:val="center"/>
            <w:hideMark/>
          </w:tcPr>
          <w:p w14:paraId="3381F81B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2024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3DEF2" w:fill="D3DEF2"/>
            <w:noWrap/>
            <w:vAlign w:val="center"/>
            <w:hideMark/>
          </w:tcPr>
          <w:p w14:paraId="1C17ED2A" w14:textId="3596E3EB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30-0</w:t>
            </w:r>
            <w:r w:rsidR="00F6408F">
              <w:rPr>
                <w:rFonts w:eastAsia="Times New Roman"/>
                <w:color w:val="000000"/>
                <w:sz w:val="18"/>
                <w:szCs w:val="18"/>
                <w:lang w:val="es-CL"/>
              </w:rPr>
              <w:t>9</w:t>
            </w: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-2025</w:t>
            </w:r>
          </w:p>
        </w:tc>
      </w:tr>
      <w:tr w:rsidR="005F3674" w:rsidRPr="005F3674" w14:paraId="6C2E0636" w14:textId="77777777" w:rsidTr="005F3674">
        <w:trPr>
          <w:trHeight w:val="300"/>
          <w:jc w:val="center"/>
        </w:trPr>
        <w:tc>
          <w:tcPr>
            <w:tcW w:w="52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454243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  <w:t>21</w:t>
            </w:r>
          </w:p>
        </w:tc>
        <w:tc>
          <w:tcPr>
            <w:tcW w:w="35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0BF33C" w14:textId="77777777" w:rsidR="005F3674" w:rsidRPr="005F3674" w:rsidRDefault="005F3674" w:rsidP="005F3674">
            <w:pPr>
              <w:widowControl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Gastos en Personal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7F180B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15.040.240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CA3044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16.091.313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AA8B7A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18.451.991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B59AF0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19.587.000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05DE4D" w14:textId="778065BB" w:rsidR="005F3674" w:rsidRPr="005F3674" w:rsidRDefault="00F6408F" w:rsidP="00F6408F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es-CL"/>
              </w:rPr>
              <w:t>15</w:t>
            </w:r>
            <w:r w:rsidR="005F3674"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18"/>
                <w:szCs w:val="18"/>
                <w:lang w:val="es-CL"/>
              </w:rPr>
              <w:t>282</w:t>
            </w:r>
            <w:r w:rsidR="005F3674"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18"/>
                <w:szCs w:val="18"/>
                <w:lang w:val="es-CL"/>
              </w:rPr>
              <w:t>724</w:t>
            </w:r>
          </w:p>
        </w:tc>
      </w:tr>
      <w:tr w:rsidR="005F3674" w:rsidRPr="005F3674" w14:paraId="5A9688FD" w14:textId="77777777" w:rsidTr="005F3674">
        <w:trPr>
          <w:trHeight w:val="300"/>
          <w:jc w:val="center"/>
        </w:trPr>
        <w:tc>
          <w:tcPr>
            <w:tcW w:w="52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B14871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  <w:t>22</w:t>
            </w:r>
          </w:p>
        </w:tc>
        <w:tc>
          <w:tcPr>
            <w:tcW w:w="35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34F695" w14:textId="77777777" w:rsidR="005F3674" w:rsidRPr="005F3674" w:rsidRDefault="005F3674" w:rsidP="005F3674">
            <w:pPr>
              <w:widowControl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Bienes y Servicios de Consumo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E4A2AC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2.308.665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4173BB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2.644.156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019F34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3.565.844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4578AA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4.176.196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32E561" w14:textId="0B19D508" w:rsidR="005F3674" w:rsidRPr="005F3674" w:rsidRDefault="00F6408F" w:rsidP="00F6408F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es-CL"/>
              </w:rPr>
              <w:t xml:space="preserve">  2</w:t>
            </w:r>
            <w:r w:rsidR="005F3674"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18"/>
                <w:szCs w:val="18"/>
                <w:lang w:val="es-CL"/>
              </w:rPr>
              <w:t>730</w:t>
            </w:r>
            <w:r w:rsidR="005F3674"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18"/>
                <w:szCs w:val="18"/>
                <w:lang w:val="es-CL"/>
              </w:rPr>
              <w:t>411</w:t>
            </w:r>
          </w:p>
        </w:tc>
      </w:tr>
      <w:tr w:rsidR="005F3674" w:rsidRPr="005F3674" w14:paraId="44EDEAEC" w14:textId="77777777" w:rsidTr="005F3674">
        <w:trPr>
          <w:trHeight w:val="300"/>
          <w:jc w:val="center"/>
        </w:trPr>
        <w:tc>
          <w:tcPr>
            <w:tcW w:w="52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122814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  <w:t>23</w:t>
            </w:r>
          </w:p>
        </w:tc>
        <w:tc>
          <w:tcPr>
            <w:tcW w:w="35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985CC2" w14:textId="77777777" w:rsidR="005F3674" w:rsidRPr="005F3674" w:rsidRDefault="005F3674" w:rsidP="005F3674">
            <w:pPr>
              <w:widowControl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Prestaciones de Seguridad Social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2B61FB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42.095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5ABC6A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170.144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FB0D5E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183.168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3CA758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585.116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EC866E" w14:textId="023C5CE7" w:rsidR="005F3674" w:rsidRPr="005F3674" w:rsidRDefault="00F6408F" w:rsidP="00F6408F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es-CL"/>
              </w:rPr>
              <w:t xml:space="preserve">     101.428</w:t>
            </w:r>
          </w:p>
        </w:tc>
      </w:tr>
      <w:tr w:rsidR="005F3674" w:rsidRPr="005F3674" w14:paraId="2A637581" w14:textId="77777777" w:rsidTr="005F3674">
        <w:trPr>
          <w:trHeight w:val="300"/>
          <w:jc w:val="center"/>
        </w:trPr>
        <w:tc>
          <w:tcPr>
            <w:tcW w:w="52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5A4C14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  <w:t>24</w:t>
            </w:r>
          </w:p>
        </w:tc>
        <w:tc>
          <w:tcPr>
            <w:tcW w:w="35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258E23" w14:textId="77777777" w:rsidR="005F3674" w:rsidRPr="005F3674" w:rsidRDefault="005F3674" w:rsidP="005F3674">
            <w:pPr>
              <w:widowControl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Transferencias Corrientes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CA735D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79.010.623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B8756E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82.104.547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7DB63F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84.093.007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C55057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87.254.666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A7D356" w14:textId="34844D0D" w:rsidR="005F3674" w:rsidRPr="005F3674" w:rsidRDefault="00F6408F" w:rsidP="00F6408F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es-CL"/>
              </w:rPr>
              <w:t>80</w:t>
            </w:r>
            <w:r w:rsidR="005F3674"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18"/>
                <w:szCs w:val="18"/>
                <w:lang w:val="es-CL"/>
              </w:rPr>
              <w:t>926</w:t>
            </w:r>
            <w:r w:rsidR="005F3674"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18"/>
                <w:szCs w:val="18"/>
                <w:lang w:val="es-CL"/>
              </w:rPr>
              <w:t>458</w:t>
            </w:r>
          </w:p>
        </w:tc>
      </w:tr>
      <w:tr w:rsidR="005F3674" w:rsidRPr="005F3674" w14:paraId="4F31F816" w14:textId="77777777" w:rsidTr="005F3674">
        <w:trPr>
          <w:trHeight w:val="300"/>
          <w:jc w:val="center"/>
        </w:trPr>
        <w:tc>
          <w:tcPr>
            <w:tcW w:w="52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9F9D45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  <w:t>25</w:t>
            </w:r>
          </w:p>
        </w:tc>
        <w:tc>
          <w:tcPr>
            <w:tcW w:w="35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613DE1" w14:textId="77777777" w:rsidR="005F3674" w:rsidRPr="005F3674" w:rsidRDefault="005F3674" w:rsidP="005F3674">
            <w:pPr>
              <w:widowControl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Ingresos al Fisco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8FA419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13.673.556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97383D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17.446.986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5537E1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14.200.824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4D83A9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7.270.424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C0CAD5" w14:textId="66ADA708" w:rsidR="005F3674" w:rsidRPr="005F3674" w:rsidRDefault="00F6408F" w:rsidP="00F6408F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es-CL"/>
              </w:rPr>
              <w:t xml:space="preserve">     284</w:t>
            </w:r>
            <w:r w:rsidR="005F3674"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18"/>
                <w:szCs w:val="18"/>
                <w:lang w:val="es-CL"/>
              </w:rPr>
              <w:t>020</w:t>
            </w:r>
          </w:p>
        </w:tc>
      </w:tr>
      <w:tr w:rsidR="005F3674" w:rsidRPr="005F3674" w14:paraId="7F11C958" w14:textId="77777777" w:rsidTr="005F3674">
        <w:trPr>
          <w:trHeight w:val="300"/>
          <w:jc w:val="center"/>
        </w:trPr>
        <w:tc>
          <w:tcPr>
            <w:tcW w:w="52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07525C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  <w:t>26</w:t>
            </w:r>
          </w:p>
        </w:tc>
        <w:tc>
          <w:tcPr>
            <w:tcW w:w="35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EF829D" w14:textId="77777777" w:rsidR="005F3674" w:rsidRPr="005F3674" w:rsidRDefault="005F3674" w:rsidP="005F3674">
            <w:pPr>
              <w:widowControl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Otros Gastos Corrientes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72B027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95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DCB064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67DF92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F8A59A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F5DC4F" w14:textId="77777777" w:rsidR="005F3674" w:rsidRPr="005F3674" w:rsidRDefault="005F3674" w:rsidP="00F6408F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0</w:t>
            </w:r>
          </w:p>
        </w:tc>
      </w:tr>
      <w:tr w:rsidR="005F3674" w:rsidRPr="005F3674" w14:paraId="0551DF66" w14:textId="77777777" w:rsidTr="005F3674">
        <w:trPr>
          <w:trHeight w:val="300"/>
          <w:jc w:val="center"/>
        </w:trPr>
        <w:tc>
          <w:tcPr>
            <w:tcW w:w="52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661E8A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  <w:t>29</w:t>
            </w:r>
          </w:p>
        </w:tc>
        <w:tc>
          <w:tcPr>
            <w:tcW w:w="35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AE91CA" w14:textId="77777777" w:rsidR="005F3674" w:rsidRPr="005F3674" w:rsidRDefault="005F3674" w:rsidP="005F3674">
            <w:pPr>
              <w:widowControl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Adquisición de Activos No Financieros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1BBD50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111.014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3A721E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185.615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38AA64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331.742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ED685E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261.409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C98DCE" w14:textId="30EB5B16" w:rsidR="005F3674" w:rsidRPr="005F3674" w:rsidRDefault="00F6408F" w:rsidP="00F6408F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es-CL"/>
              </w:rPr>
              <w:t xml:space="preserve">      80</w:t>
            </w:r>
            <w:r w:rsidR="005F3674"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18"/>
                <w:szCs w:val="18"/>
                <w:lang w:val="es-CL"/>
              </w:rPr>
              <w:t>994</w:t>
            </w:r>
          </w:p>
        </w:tc>
      </w:tr>
      <w:tr w:rsidR="005F3674" w:rsidRPr="005F3674" w14:paraId="2DA40B5B" w14:textId="77777777" w:rsidTr="005F3674">
        <w:trPr>
          <w:trHeight w:val="300"/>
          <w:jc w:val="center"/>
        </w:trPr>
        <w:tc>
          <w:tcPr>
            <w:tcW w:w="52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F3F694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  <w:t>32</w:t>
            </w:r>
          </w:p>
        </w:tc>
        <w:tc>
          <w:tcPr>
            <w:tcW w:w="35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475589" w14:textId="77777777" w:rsidR="005F3674" w:rsidRPr="005F3674" w:rsidRDefault="005F3674" w:rsidP="005F3674">
            <w:pPr>
              <w:widowControl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Préstamos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A928B9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10.868.822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8C0907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431C2C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3.940.203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9C9A87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6.435.886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E0FF04" w14:textId="5012247F" w:rsidR="005F3674" w:rsidRPr="005F3674" w:rsidRDefault="00F6408F" w:rsidP="00F6408F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es-CL"/>
              </w:rPr>
              <w:t xml:space="preserve"> 2</w:t>
            </w:r>
            <w:r w:rsidR="005F3674"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18"/>
                <w:szCs w:val="18"/>
                <w:lang w:val="es-CL"/>
              </w:rPr>
              <w:t>121</w:t>
            </w:r>
            <w:r w:rsidR="005F3674"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18"/>
                <w:szCs w:val="18"/>
                <w:lang w:val="es-CL"/>
              </w:rPr>
              <w:t>980</w:t>
            </w:r>
          </w:p>
        </w:tc>
      </w:tr>
      <w:tr w:rsidR="005F3674" w:rsidRPr="005F3674" w14:paraId="08705351" w14:textId="77777777" w:rsidTr="005F3674">
        <w:trPr>
          <w:trHeight w:val="300"/>
          <w:jc w:val="center"/>
        </w:trPr>
        <w:tc>
          <w:tcPr>
            <w:tcW w:w="52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545FCE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  <w:t>33</w:t>
            </w:r>
          </w:p>
        </w:tc>
        <w:tc>
          <w:tcPr>
            <w:tcW w:w="35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EC08BA" w14:textId="77777777" w:rsidR="005F3674" w:rsidRPr="005F3674" w:rsidRDefault="005F3674" w:rsidP="005F3674">
            <w:pPr>
              <w:widowControl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Transferencias de Capital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178575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421.622.905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67DB0F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534.575.619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4B842D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298.352.233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1A6EE4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236.868.634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1CF1AE" w14:textId="5694F86B" w:rsidR="005F3674" w:rsidRPr="005F3674" w:rsidRDefault="00F6408F" w:rsidP="00F6408F">
            <w:pPr>
              <w:widowControl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es-CL"/>
              </w:rPr>
              <w:t>119</w:t>
            </w:r>
            <w:r w:rsidR="005F3674"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18"/>
                <w:szCs w:val="18"/>
                <w:lang w:val="es-CL"/>
              </w:rPr>
              <w:t>194</w:t>
            </w:r>
            <w:r w:rsidR="005F3674"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18"/>
                <w:szCs w:val="18"/>
                <w:lang w:val="es-CL"/>
              </w:rPr>
              <w:t>126</w:t>
            </w:r>
          </w:p>
        </w:tc>
      </w:tr>
      <w:tr w:rsidR="005F3674" w:rsidRPr="005F3674" w14:paraId="445137A2" w14:textId="77777777" w:rsidTr="005F3674">
        <w:trPr>
          <w:trHeight w:val="300"/>
          <w:jc w:val="center"/>
        </w:trPr>
        <w:tc>
          <w:tcPr>
            <w:tcW w:w="52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38F942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  <w:t>34</w:t>
            </w:r>
          </w:p>
        </w:tc>
        <w:tc>
          <w:tcPr>
            <w:tcW w:w="35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BF379B" w14:textId="77777777" w:rsidR="005F3674" w:rsidRPr="005F3674" w:rsidRDefault="005F3674" w:rsidP="005F3674">
            <w:pPr>
              <w:widowControl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Servicio de la Deuda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C4E94E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20.866.721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3757CA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21.667.339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2F9D00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20.302.612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A6E0D1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39.740.825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0B8745" w14:textId="2A9BBD27" w:rsidR="005F3674" w:rsidRPr="005F3674" w:rsidRDefault="00F6408F" w:rsidP="00F6408F">
            <w:pPr>
              <w:widowControl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es-CL"/>
              </w:rPr>
              <w:t xml:space="preserve">  63</w:t>
            </w:r>
            <w:r w:rsidR="005F3674"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18"/>
                <w:szCs w:val="18"/>
                <w:lang w:val="es-CL"/>
              </w:rPr>
              <w:t>278</w:t>
            </w:r>
            <w:r w:rsidR="005F3674"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18"/>
                <w:szCs w:val="18"/>
                <w:lang w:val="es-CL"/>
              </w:rPr>
              <w:t>206</w:t>
            </w:r>
          </w:p>
        </w:tc>
      </w:tr>
      <w:tr w:rsidR="005F3674" w:rsidRPr="005F3674" w14:paraId="6B992ED1" w14:textId="77777777" w:rsidTr="005F3674">
        <w:trPr>
          <w:trHeight w:val="300"/>
          <w:jc w:val="center"/>
        </w:trPr>
        <w:tc>
          <w:tcPr>
            <w:tcW w:w="4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D02C52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color w:val="000000"/>
                <w:sz w:val="18"/>
                <w:szCs w:val="18"/>
                <w:lang w:val="es-CL"/>
              </w:rPr>
              <w:t>Total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414A44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  <w:t>563.544.736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CACB93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  <w:t>674.885.719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F09B12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  <w:t>443.421.624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79E51E" w14:textId="77777777" w:rsidR="005F3674" w:rsidRPr="005F3674" w:rsidRDefault="005F3674" w:rsidP="005F3674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</w:pPr>
            <w:r w:rsidRPr="005F3674"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  <w:t>402.180.156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579918" w14:textId="5E937FB9" w:rsidR="005F3674" w:rsidRPr="005F3674" w:rsidRDefault="00F6408F" w:rsidP="005F3674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  <w:t>284</w:t>
            </w:r>
            <w:r w:rsidR="005F3674" w:rsidRPr="005F3674"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  <w:t>.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  <w:t>000</w:t>
            </w:r>
            <w:r w:rsidR="005F3674" w:rsidRPr="005F3674"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  <w:t>.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val="es-CL"/>
              </w:rPr>
              <w:t>347</w:t>
            </w:r>
          </w:p>
        </w:tc>
      </w:tr>
    </w:tbl>
    <w:p w14:paraId="4143F6CA" w14:textId="35C3756D" w:rsidR="000E21BE" w:rsidRDefault="000E21BE" w:rsidP="00CE40E4">
      <w:pPr>
        <w:pBdr>
          <w:top w:val="nil"/>
          <w:left w:val="nil"/>
          <w:bottom w:val="nil"/>
          <w:right w:val="nil"/>
          <w:between w:val="nil"/>
        </w:pBdr>
        <w:spacing w:before="9"/>
        <w:ind w:left="426" w:hanging="852"/>
        <w:jc w:val="center"/>
        <w:rPr>
          <w:color w:val="000000"/>
          <w:sz w:val="21"/>
          <w:szCs w:val="21"/>
        </w:rPr>
        <w:sectPr w:rsidR="000E21BE">
          <w:pgSz w:w="12242" w:h="15842"/>
          <w:pgMar w:top="1418" w:right="1701" w:bottom="1418" w:left="1701" w:header="1134" w:footer="0" w:gutter="0"/>
          <w:cols w:space="720"/>
        </w:sectPr>
      </w:pPr>
    </w:p>
    <w:p w14:paraId="675F7F9E" w14:textId="793EA5EC" w:rsidR="000E21BE" w:rsidRDefault="00000000" w:rsidP="0009619F">
      <w:pPr>
        <w:pStyle w:val="Ttulo1"/>
        <w:numPr>
          <w:ilvl w:val="0"/>
          <w:numId w:val="2"/>
        </w:numPr>
        <w:tabs>
          <w:tab w:val="left" w:pos="2200"/>
        </w:tabs>
        <w:ind w:left="0" w:hanging="352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Inversión Regional SUBDERE período 202</w:t>
      </w:r>
      <w:r w:rsidR="00CE40E4">
        <w:rPr>
          <w:sz w:val="28"/>
          <w:szCs w:val="28"/>
        </w:rPr>
        <w:t>1</w:t>
      </w:r>
      <w:r>
        <w:rPr>
          <w:sz w:val="28"/>
          <w:szCs w:val="28"/>
        </w:rPr>
        <w:t xml:space="preserve"> </w:t>
      </w:r>
      <w:r w:rsidR="00A937F4">
        <w:rPr>
          <w:sz w:val="28"/>
          <w:szCs w:val="28"/>
        </w:rPr>
        <w:t>-</w:t>
      </w:r>
      <w:r>
        <w:rPr>
          <w:sz w:val="28"/>
          <w:szCs w:val="28"/>
        </w:rPr>
        <w:t xml:space="preserve"> 202</w:t>
      </w:r>
      <w:r w:rsidR="00CE40E4">
        <w:rPr>
          <w:sz w:val="28"/>
          <w:szCs w:val="28"/>
        </w:rPr>
        <w:t>5</w:t>
      </w:r>
    </w:p>
    <w:p w14:paraId="55AFC13D" w14:textId="649F8AAB" w:rsidR="000E21BE" w:rsidRDefault="00000000">
      <w:pPr>
        <w:pBdr>
          <w:top w:val="nil"/>
          <w:left w:val="nil"/>
          <w:bottom w:val="nil"/>
          <w:right w:val="nil"/>
          <w:between w:val="nil"/>
        </w:pBdr>
        <w:spacing w:before="260"/>
        <w:jc w:val="both"/>
        <w:rPr>
          <w:color w:val="000000"/>
        </w:rPr>
      </w:pPr>
      <w:r>
        <w:rPr>
          <w:color w:val="000000"/>
        </w:rPr>
        <w:t>A continuación, se presentan los montos asociados a las transferencias de recursos a nivel regional durante los años 202</w:t>
      </w:r>
      <w:r w:rsidR="00CE40E4">
        <w:rPr>
          <w:color w:val="000000"/>
        </w:rPr>
        <w:t>1</w:t>
      </w:r>
      <w:r>
        <w:rPr>
          <w:color w:val="000000"/>
        </w:rPr>
        <w:t xml:space="preserve"> -202</w:t>
      </w:r>
      <w:r w:rsidR="00CE40E4">
        <w:rPr>
          <w:color w:val="000000"/>
        </w:rPr>
        <w:t>5</w:t>
      </w:r>
      <w:r>
        <w:rPr>
          <w:color w:val="000000"/>
        </w:rPr>
        <w:t>.</w:t>
      </w:r>
    </w:p>
    <w:p w14:paraId="52953021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spacing w:before="6"/>
        <w:jc w:val="both"/>
        <w:rPr>
          <w:color w:val="000000"/>
        </w:rPr>
      </w:pPr>
    </w:p>
    <w:p w14:paraId="40643C34" w14:textId="77777777" w:rsidR="000E21BE" w:rsidRDefault="00000000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color w:val="000000"/>
        </w:rPr>
        <w:t>Se entiende como “transferencia de recurso” al traspaso de dinero que se realiza desde la SUBDERE a Municipalidades, Gobiernos Regionales y/o Asociaciones Municipales, para el financiamiento de proyectos orientados a mejorar la calidad de vida en los territorios y sus residentes. Subvencionando por ejemplo obras de acceso de agua potable, mayores y mejores luminarias, construcción o mejoramiento de infraestructuras deportivas, conservaciones de calles y vías públicas, campañas de esterilizaciones animales de compañía, entre otros proyectos.</w:t>
      </w:r>
    </w:p>
    <w:p w14:paraId="6066650A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spacing w:before="6"/>
        <w:jc w:val="both"/>
        <w:rPr>
          <w:color w:val="000000"/>
        </w:rPr>
      </w:pPr>
    </w:p>
    <w:p w14:paraId="533F1BC8" w14:textId="77777777" w:rsidR="000E21BE" w:rsidRDefault="00000000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color w:val="000000"/>
        </w:rPr>
        <w:t>Destacan principalmente los Programas de Mejoramiento Urbano y Comunal y Programa de Mejoramiento de Barrios financiando proyectos de inversión en infraestructura menor urbana y equipamiento comunal y acciones para reducir la marginalidad en los ámbitos de saneamiento sanitario, residuos sólidos, energización y protección del patrimonio, además de apoyar a los municipios con capacidades profesionales a través del financiamiento de asistencia e inspección técnica y asistencia legal.</w:t>
      </w:r>
    </w:p>
    <w:p w14:paraId="371997C1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spacing w:before="5"/>
        <w:jc w:val="both"/>
        <w:rPr>
          <w:color w:val="000000"/>
        </w:rPr>
      </w:pPr>
    </w:p>
    <w:p w14:paraId="6EC1356F" w14:textId="7A83E00C" w:rsidR="0054358C" w:rsidRDefault="00000000" w:rsidP="0054358C">
      <w:pPr>
        <w:spacing w:line="264" w:lineRule="auto"/>
        <w:ind w:firstLine="2"/>
        <w:jc w:val="both"/>
        <w:rPr>
          <w:b/>
          <w:sz w:val="20"/>
          <w:szCs w:val="20"/>
        </w:rPr>
      </w:pPr>
      <w:r w:rsidRPr="0054358C">
        <w:rPr>
          <w:b/>
          <w:sz w:val="20"/>
          <w:szCs w:val="20"/>
        </w:rPr>
        <w:t>A continuación, se muestran los cuadros con la inversión regional SUBDERE del período 202</w:t>
      </w:r>
      <w:r w:rsidR="00CE40E4">
        <w:rPr>
          <w:b/>
          <w:sz w:val="20"/>
          <w:szCs w:val="20"/>
        </w:rPr>
        <w:t>1</w:t>
      </w:r>
      <w:r w:rsidRPr="0054358C">
        <w:rPr>
          <w:b/>
          <w:sz w:val="20"/>
          <w:szCs w:val="20"/>
        </w:rPr>
        <w:t xml:space="preserve"> al </w:t>
      </w:r>
      <w:r w:rsidR="00CE40E4">
        <w:rPr>
          <w:b/>
          <w:sz w:val="20"/>
          <w:szCs w:val="20"/>
        </w:rPr>
        <w:t>3</w:t>
      </w:r>
      <w:r w:rsidR="001749A0">
        <w:rPr>
          <w:b/>
          <w:sz w:val="20"/>
          <w:szCs w:val="20"/>
        </w:rPr>
        <w:t>0</w:t>
      </w:r>
      <w:r w:rsidR="00CE40E4">
        <w:rPr>
          <w:b/>
          <w:sz w:val="20"/>
          <w:szCs w:val="20"/>
        </w:rPr>
        <w:t>-0</w:t>
      </w:r>
      <w:r w:rsidR="001749A0">
        <w:rPr>
          <w:b/>
          <w:sz w:val="20"/>
          <w:szCs w:val="20"/>
        </w:rPr>
        <w:t>6</w:t>
      </w:r>
      <w:r w:rsidR="00CE40E4">
        <w:rPr>
          <w:b/>
          <w:sz w:val="20"/>
          <w:szCs w:val="20"/>
        </w:rPr>
        <w:t>-</w:t>
      </w:r>
      <w:r w:rsidRPr="0054358C">
        <w:rPr>
          <w:b/>
          <w:sz w:val="20"/>
          <w:szCs w:val="20"/>
        </w:rPr>
        <w:t>202</w:t>
      </w:r>
      <w:r w:rsidR="00CE40E4">
        <w:rPr>
          <w:b/>
          <w:sz w:val="20"/>
          <w:szCs w:val="20"/>
        </w:rPr>
        <w:t>5</w:t>
      </w:r>
      <w:r w:rsidRPr="0054358C">
        <w:rPr>
          <w:b/>
          <w:sz w:val="20"/>
          <w:szCs w:val="20"/>
        </w:rPr>
        <w:t>.</w:t>
      </w:r>
    </w:p>
    <w:p w14:paraId="652A6AFB" w14:textId="477AF8BB" w:rsidR="000E21BE" w:rsidRPr="00CE40E4" w:rsidRDefault="00000000">
      <w:pPr>
        <w:pStyle w:val="Ttulo2"/>
        <w:spacing w:before="158"/>
        <w:ind w:left="0"/>
        <w:jc w:val="both"/>
      </w:pPr>
      <w:r w:rsidRPr="00CE40E4">
        <w:t>Cuadro de Inversión Regional SUBDERE año 2021</w:t>
      </w:r>
    </w:p>
    <w:p w14:paraId="27570E87" w14:textId="77777777" w:rsidR="000E21BE" w:rsidRDefault="00000000">
      <w:pPr>
        <w:pStyle w:val="Ttulo2"/>
        <w:spacing w:before="158"/>
        <w:ind w:left="0"/>
        <w:jc w:val="both"/>
      </w:pPr>
      <w:r>
        <w:rPr>
          <w:noProof/>
        </w:rPr>
        <mc:AlternateContent>
          <mc:Choice Requires="wps">
            <w:drawing>
              <wp:anchor distT="0" distB="0" distL="0" distR="0" simplePos="0" relativeHeight="251663360" behindDoc="1" locked="0" layoutInCell="1" hidden="0" allowOverlap="1" wp14:anchorId="5108DB59" wp14:editId="10D2D164">
                <wp:simplePos x="0" y="0"/>
                <wp:positionH relativeFrom="column">
                  <wp:posOffset>444500</wp:posOffset>
                </wp:positionH>
                <wp:positionV relativeFrom="paragraph">
                  <wp:posOffset>2512171</wp:posOffset>
                </wp:positionV>
                <wp:extent cx="1477645" cy="1917304"/>
                <wp:effectExtent l="0" t="0" r="0" b="0"/>
                <wp:wrapNone/>
                <wp:docPr id="1322569066" name="Rectángulo 13225690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7645" cy="191730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1243E874" w14:textId="77777777" w:rsidR="000E21BE" w:rsidRDefault="00000000">
                            <w:pPr>
                              <w:spacing w:before="40"/>
                              <w:jc w:val="right"/>
                              <w:textDirection w:val="btLr"/>
                            </w:pPr>
                            <w:r>
                              <w:rPr>
                                <w:color w:val="00224A"/>
                                <w:sz w:val="18"/>
                              </w:rPr>
                              <w:t>Nota: La Inversión regional SUBDERE del año incluye todas las fuentes de financiamiento destinadas al apoyo de proyectos de los programas de SUBDERE, destacando principalmente los programas PMU, PMB, FRC, PRBIPE Y PTRAC.</w:t>
                            </w:r>
                          </w:p>
                          <w:p w14:paraId="52395440" w14:textId="77777777" w:rsidR="000E21BE" w:rsidRDefault="000E21BE">
                            <w:pPr>
                              <w:jc w:val="right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108DB59" id="Rectángulo 1322569066" o:spid="_x0000_s1027" style="position:absolute;left:0;text-align:left;margin-left:35pt;margin-top:197.8pt;width:116.35pt;height:150.95pt;z-index:-25165312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" stroked="f">
                <v:textbox inset="2.53958mm,1.2694mm,2.53958mm,1.2694mm">
                  <w:txbxContent>
                    <w:p w14:paraId="1243E874" w14:textId="77777777" w:rsidR="000E21BE" w:rsidRDefault="00000000">
                      <w:pPr>
                        <w:spacing w:before="40"/>
                        <w:jc w:val="right"/>
                        <w:textDirection w:val="btLr"/>
                      </w:pPr>
                      <w:r>
                        <w:rPr>
                          <w:color w:val="00224A"/>
                          <w:sz w:val="18"/>
                        </w:rPr>
                        <w:t>Nota: La Inversión regional SUBDERE del año incluye todas las fuentes de financiamiento destinadas al apoyo de proyectos de los programas de SUBDERE, destacando principalmente los programas PMU, PMB, FRC, PRBIPE Y PTRAC.</w:t>
                      </w:r>
                    </w:p>
                    <w:p w14:paraId="52395440" w14:textId="77777777" w:rsidR="000E21BE" w:rsidRDefault="000E21BE">
                      <w:pPr>
                        <w:jc w:val="right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tbl>
      <w:tblPr>
        <w:tblStyle w:val="a3"/>
        <w:tblW w:w="5240" w:type="dxa"/>
        <w:tblInd w:w="3178" w:type="dxa"/>
        <w:tblLayout w:type="fixed"/>
        <w:tblLook w:val="0400" w:firstRow="0" w:lastRow="0" w:firstColumn="0" w:lastColumn="0" w:noHBand="0" w:noVBand="1"/>
      </w:tblPr>
      <w:tblGrid>
        <w:gridCol w:w="1600"/>
        <w:gridCol w:w="3640"/>
      </w:tblGrid>
      <w:tr w:rsidR="000E21BE" w14:paraId="47ECB2E9" w14:textId="77777777">
        <w:trPr>
          <w:trHeight w:val="300"/>
        </w:trPr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696"/>
            <w:vAlign w:val="center"/>
          </w:tcPr>
          <w:p w14:paraId="51D527BC" w14:textId="77777777" w:rsidR="000E21BE" w:rsidRDefault="00000000">
            <w:pPr>
              <w:widowControl/>
              <w:jc w:val="both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Región</w:t>
            </w:r>
          </w:p>
        </w:tc>
        <w:tc>
          <w:tcPr>
            <w:tcW w:w="3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004696"/>
            <w:vAlign w:val="center"/>
          </w:tcPr>
          <w:p w14:paraId="79623734" w14:textId="77777777" w:rsidR="000E21BE" w:rsidRDefault="00000000">
            <w:pPr>
              <w:widowControl/>
              <w:jc w:val="both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Montos Transferidos por Región (M$)</w:t>
            </w:r>
          </w:p>
        </w:tc>
      </w:tr>
      <w:tr w:rsidR="000E21BE" w14:paraId="404E100D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5E987992" w14:textId="1E9F73D1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Arica </w:t>
            </w:r>
            <w:r w:rsidR="005F3674">
              <w:rPr>
                <w:color w:val="000000"/>
                <w:sz w:val="20"/>
                <w:szCs w:val="20"/>
              </w:rPr>
              <w:t>y</w:t>
            </w:r>
            <w:r>
              <w:rPr>
                <w:color w:val="000000"/>
                <w:sz w:val="20"/>
                <w:szCs w:val="20"/>
              </w:rPr>
              <w:t xml:space="preserve"> Parinacota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7CC995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18.650.737</w:t>
            </w:r>
          </w:p>
        </w:tc>
      </w:tr>
      <w:tr w:rsidR="000E21BE" w14:paraId="5103FBF4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0DCAA209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Tarapacá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B6E88B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15.800.565</w:t>
            </w:r>
          </w:p>
        </w:tc>
      </w:tr>
      <w:tr w:rsidR="000E21BE" w14:paraId="0BF1BA7E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20E5A938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Antofagasta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997A33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10.682.664</w:t>
            </w:r>
          </w:p>
        </w:tc>
      </w:tr>
      <w:tr w:rsidR="000E21BE" w14:paraId="5F1E423A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</w:tcPr>
          <w:p w14:paraId="538C1D95" w14:textId="77777777" w:rsidR="000E21BE" w:rsidRDefault="00000000">
            <w:pPr>
              <w:widowControl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Atacama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57C49B" w14:textId="77777777" w:rsidR="000E21BE" w:rsidRDefault="00000000">
            <w:pPr>
              <w:widowControl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22.169.807</w:t>
            </w:r>
          </w:p>
        </w:tc>
      </w:tr>
      <w:tr w:rsidR="000E21BE" w14:paraId="14E79454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26DF95B2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Coquimbo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7E9358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26.221.543</w:t>
            </w:r>
          </w:p>
        </w:tc>
      </w:tr>
      <w:tr w:rsidR="000E21BE" w14:paraId="58BDA7C1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13320993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Valparaíso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A60294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49.581.222</w:t>
            </w:r>
          </w:p>
        </w:tc>
      </w:tr>
      <w:tr w:rsidR="000E21BE" w14:paraId="37C3D1F6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7ED97598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Metropolitana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8155C1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67.819.561</w:t>
            </w:r>
          </w:p>
        </w:tc>
      </w:tr>
      <w:tr w:rsidR="000E21BE" w14:paraId="25EC5CA5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6E5AA627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O'Higgins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A51391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28.686.670</w:t>
            </w:r>
          </w:p>
        </w:tc>
      </w:tr>
      <w:tr w:rsidR="000E21BE" w14:paraId="0345B1B8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77AAFDE7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Maule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DB908F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29.705.625</w:t>
            </w:r>
          </w:p>
        </w:tc>
      </w:tr>
      <w:tr w:rsidR="000E21BE" w14:paraId="3C07E999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23BF8563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Ñuble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6CDA86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17.401.070</w:t>
            </w:r>
          </w:p>
        </w:tc>
      </w:tr>
      <w:tr w:rsidR="000E21BE" w14:paraId="73DB2191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16995EC9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Biobío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D61472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50.523.542</w:t>
            </w:r>
          </w:p>
        </w:tc>
      </w:tr>
      <w:tr w:rsidR="000E21BE" w14:paraId="19BED3C3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38A3B4CF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La Araucanía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5C29DC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66.420.522</w:t>
            </w:r>
          </w:p>
        </w:tc>
      </w:tr>
      <w:tr w:rsidR="000E21BE" w14:paraId="755237A8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48CE969D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Los Ríos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74D668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19.130.796</w:t>
            </w:r>
          </w:p>
        </w:tc>
      </w:tr>
      <w:tr w:rsidR="000E21BE" w14:paraId="1C6B52F4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6E2E2D1A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Los Lagos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852F0F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41.935.402</w:t>
            </w:r>
          </w:p>
        </w:tc>
      </w:tr>
      <w:tr w:rsidR="000E21BE" w14:paraId="2BF4FB91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5C5A21E5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Aysén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D3446F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13.893.669</w:t>
            </w:r>
          </w:p>
        </w:tc>
      </w:tr>
      <w:tr w:rsidR="000E21BE" w14:paraId="5EF20E27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7063A7B7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Magallanes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26009B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28.016.463</w:t>
            </w:r>
          </w:p>
        </w:tc>
      </w:tr>
      <w:tr w:rsidR="000E21BE" w14:paraId="2C1E401F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EC2E8"/>
            <w:vAlign w:val="center"/>
          </w:tcPr>
          <w:p w14:paraId="0715D1D4" w14:textId="77777777" w:rsidR="000E21BE" w:rsidRDefault="00000000">
            <w:pPr>
              <w:widowControl/>
              <w:jc w:val="both"/>
              <w:rPr>
                <w:b/>
                <w:color w:val="000000"/>
                <w:sz w:val="20"/>
                <w:szCs w:val="20"/>
              </w:rPr>
            </w:pPr>
            <w:proofErr w:type="gramStart"/>
            <w:r>
              <w:rPr>
                <w:b/>
                <w:color w:val="000000"/>
                <w:sz w:val="20"/>
                <w:szCs w:val="20"/>
              </w:rPr>
              <w:t>Total</w:t>
            </w:r>
            <w:proofErr w:type="gramEnd"/>
            <w:r>
              <w:rPr>
                <w:b/>
                <w:color w:val="000000"/>
                <w:sz w:val="20"/>
                <w:szCs w:val="20"/>
              </w:rPr>
              <w:t xml:space="preserve"> general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1F5574" w14:textId="77777777" w:rsidR="000E21BE" w:rsidRDefault="00000000">
            <w:pPr>
              <w:widowControl/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506.639.858</w:t>
            </w:r>
          </w:p>
        </w:tc>
      </w:tr>
    </w:tbl>
    <w:p w14:paraId="1F8EBE34" w14:textId="77777777" w:rsidR="000E21BE" w:rsidRDefault="000E21BE">
      <w:pPr>
        <w:pStyle w:val="Ttulo2"/>
        <w:spacing w:before="158"/>
        <w:ind w:left="0"/>
        <w:jc w:val="both"/>
        <w:sectPr w:rsidR="000E21BE">
          <w:pgSz w:w="12242" w:h="15842"/>
          <w:pgMar w:top="1418" w:right="1701" w:bottom="1418" w:left="1701" w:header="1134" w:footer="0" w:gutter="0"/>
          <w:cols w:space="720"/>
        </w:sectPr>
      </w:pPr>
    </w:p>
    <w:p w14:paraId="42239BAB" w14:textId="74259E07" w:rsidR="000E21BE" w:rsidRDefault="0009619F">
      <w:pPr>
        <w:pStyle w:val="Ttulo2"/>
        <w:spacing w:line="327" w:lineRule="auto"/>
        <w:ind w:left="0"/>
        <w:jc w:val="both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251664384" behindDoc="1" locked="0" layoutInCell="1" hidden="0" allowOverlap="1" wp14:anchorId="68D204B1" wp14:editId="0768E54E">
                <wp:simplePos x="0" y="0"/>
                <wp:positionH relativeFrom="column">
                  <wp:posOffset>581025</wp:posOffset>
                </wp:positionH>
                <wp:positionV relativeFrom="paragraph">
                  <wp:posOffset>2451514</wp:posOffset>
                </wp:positionV>
                <wp:extent cx="1478090" cy="1658512"/>
                <wp:effectExtent l="0" t="0" r="0" b="0"/>
                <wp:wrapNone/>
                <wp:docPr id="1322569063" name="Rectángulo 13225690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8090" cy="165851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57CFF98" w14:textId="77777777" w:rsidR="000E21BE" w:rsidRDefault="00000000">
                            <w:pPr>
                              <w:spacing w:before="40"/>
                              <w:jc w:val="right"/>
                              <w:textDirection w:val="btLr"/>
                            </w:pPr>
                            <w:r>
                              <w:rPr>
                                <w:color w:val="00224A"/>
                                <w:sz w:val="18"/>
                              </w:rPr>
                              <w:t>Nota: La Inversión regional SUBDERE del año incluye todas las fuentes de financiamiento destinadas al apoyo de proyectos de los programas de SUBDERE, destacando principalmente los programas PMU, PMB, FRC, PRBIPE Y PTRAC.</w:t>
                            </w:r>
                          </w:p>
                          <w:p w14:paraId="37665657" w14:textId="77777777" w:rsidR="000E21BE" w:rsidRDefault="000E21BE">
                            <w:pPr>
                              <w:jc w:val="right"/>
                              <w:textDirection w:val="btLr"/>
                            </w:pPr>
                          </w:p>
                          <w:p w14:paraId="6C0B2590" w14:textId="77777777" w:rsidR="000E21BE" w:rsidRDefault="000E21BE">
                            <w:pPr>
                              <w:jc w:val="right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8D204B1" id="Rectángulo 1322569063" o:spid="_x0000_s1028" style="position:absolute;left:0;text-align:left;margin-left:45.75pt;margin-top:193.05pt;width:116.4pt;height:130.6pt;z-index:-25165209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" stroked="f">
                <v:textbox inset="2.53958mm,1.2694mm,2.53958mm,1.2694mm">
                  <w:txbxContent>
                    <w:p w14:paraId="557CFF98" w14:textId="77777777" w:rsidR="000E21BE" w:rsidRDefault="00000000">
                      <w:pPr>
                        <w:spacing w:before="40"/>
                        <w:jc w:val="right"/>
                        <w:textDirection w:val="btLr"/>
                      </w:pPr>
                      <w:r>
                        <w:rPr>
                          <w:color w:val="00224A"/>
                          <w:sz w:val="18"/>
                        </w:rPr>
                        <w:t>Nota: La Inversión regional SUBDERE del año incluye todas las fuentes de financiamiento destinadas al apoyo de proyectos de los programas de SUBDERE, destacando principalmente los programas PMU, PMB, FRC, PRBIPE Y PTRAC.</w:t>
                      </w:r>
                    </w:p>
                    <w:p w14:paraId="37665657" w14:textId="77777777" w:rsidR="000E21BE" w:rsidRDefault="000E21BE">
                      <w:pPr>
                        <w:jc w:val="right"/>
                        <w:textDirection w:val="btLr"/>
                      </w:pPr>
                    </w:p>
                    <w:p w14:paraId="6C0B2590" w14:textId="77777777" w:rsidR="000E21BE" w:rsidRDefault="000E21BE">
                      <w:pPr>
                        <w:jc w:val="right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  <w:r>
        <w:t>Cuadro de Inversión Regional SUBDERE año 2022</w:t>
      </w:r>
    </w:p>
    <w:tbl>
      <w:tblPr>
        <w:tblStyle w:val="a4"/>
        <w:tblW w:w="5160" w:type="dxa"/>
        <w:tblInd w:w="3212" w:type="dxa"/>
        <w:tblLayout w:type="fixed"/>
        <w:tblLook w:val="0400" w:firstRow="0" w:lastRow="0" w:firstColumn="0" w:lastColumn="0" w:noHBand="0" w:noVBand="1"/>
      </w:tblPr>
      <w:tblGrid>
        <w:gridCol w:w="1678"/>
        <w:gridCol w:w="3482"/>
      </w:tblGrid>
      <w:tr w:rsidR="000E21BE" w14:paraId="6377B07F" w14:textId="77777777">
        <w:trPr>
          <w:trHeight w:val="300"/>
        </w:trPr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696"/>
            <w:vAlign w:val="center"/>
          </w:tcPr>
          <w:p w14:paraId="6B17D399" w14:textId="77777777" w:rsidR="000E21BE" w:rsidRDefault="00000000">
            <w:pPr>
              <w:widowControl/>
              <w:jc w:val="both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Región</w:t>
            </w:r>
          </w:p>
        </w:tc>
        <w:tc>
          <w:tcPr>
            <w:tcW w:w="34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004696"/>
            <w:vAlign w:val="center"/>
          </w:tcPr>
          <w:p w14:paraId="0C1D84AE" w14:textId="77777777" w:rsidR="000E21BE" w:rsidRDefault="00000000">
            <w:pPr>
              <w:widowControl/>
              <w:jc w:val="both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Montos Transferidos por Región (M$)</w:t>
            </w:r>
          </w:p>
        </w:tc>
      </w:tr>
      <w:tr w:rsidR="000E21BE" w14:paraId="2FE2C577" w14:textId="77777777">
        <w:trPr>
          <w:trHeight w:val="300"/>
        </w:trPr>
        <w:tc>
          <w:tcPr>
            <w:tcW w:w="16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01BAD534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Arica y Parinacota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91CFEE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29.378.653</w:t>
            </w:r>
          </w:p>
        </w:tc>
      </w:tr>
      <w:tr w:rsidR="000E21BE" w14:paraId="315494C1" w14:textId="77777777">
        <w:trPr>
          <w:trHeight w:val="300"/>
        </w:trPr>
        <w:tc>
          <w:tcPr>
            <w:tcW w:w="16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29BE3548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Tarapacá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0ED6D7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15.548.850</w:t>
            </w:r>
          </w:p>
        </w:tc>
      </w:tr>
      <w:tr w:rsidR="000E21BE" w14:paraId="1FFA174B" w14:textId="77777777">
        <w:trPr>
          <w:trHeight w:val="300"/>
        </w:trPr>
        <w:tc>
          <w:tcPr>
            <w:tcW w:w="16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14DB6EC2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Antofagasta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34C1C2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14.891.667</w:t>
            </w:r>
          </w:p>
        </w:tc>
      </w:tr>
      <w:tr w:rsidR="000E21BE" w14:paraId="370EEB0E" w14:textId="77777777">
        <w:trPr>
          <w:trHeight w:val="300"/>
        </w:trPr>
        <w:tc>
          <w:tcPr>
            <w:tcW w:w="16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585C51F1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Atacama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C05F25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21.790.077</w:t>
            </w:r>
          </w:p>
        </w:tc>
      </w:tr>
      <w:tr w:rsidR="000E21BE" w14:paraId="5C4F9C82" w14:textId="77777777">
        <w:trPr>
          <w:trHeight w:val="300"/>
        </w:trPr>
        <w:tc>
          <w:tcPr>
            <w:tcW w:w="16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525C3F0B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Coquimbo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EB635C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18.233.548</w:t>
            </w:r>
          </w:p>
        </w:tc>
      </w:tr>
      <w:tr w:rsidR="000E21BE" w14:paraId="0069FD12" w14:textId="77777777">
        <w:trPr>
          <w:trHeight w:val="300"/>
        </w:trPr>
        <w:tc>
          <w:tcPr>
            <w:tcW w:w="16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75340A21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Valparaíso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758B32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51.094.300</w:t>
            </w:r>
          </w:p>
        </w:tc>
      </w:tr>
      <w:tr w:rsidR="000E21BE" w14:paraId="55796C16" w14:textId="77777777">
        <w:trPr>
          <w:trHeight w:val="300"/>
        </w:trPr>
        <w:tc>
          <w:tcPr>
            <w:tcW w:w="16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7D1E5156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Metropolitana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233A1F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82.932.436</w:t>
            </w:r>
          </w:p>
        </w:tc>
      </w:tr>
      <w:tr w:rsidR="000E21BE" w14:paraId="6E149CF0" w14:textId="77777777">
        <w:trPr>
          <w:trHeight w:val="300"/>
        </w:trPr>
        <w:tc>
          <w:tcPr>
            <w:tcW w:w="16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2E346401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O'Higgins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ED564D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36.761.655</w:t>
            </w:r>
          </w:p>
        </w:tc>
      </w:tr>
      <w:tr w:rsidR="000E21BE" w14:paraId="6311675A" w14:textId="77777777">
        <w:trPr>
          <w:trHeight w:val="300"/>
        </w:trPr>
        <w:tc>
          <w:tcPr>
            <w:tcW w:w="16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27D5A2A4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Maule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CD465E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31.566.206</w:t>
            </w:r>
          </w:p>
        </w:tc>
      </w:tr>
      <w:tr w:rsidR="000E21BE" w14:paraId="46BBE2E3" w14:textId="77777777">
        <w:trPr>
          <w:trHeight w:val="300"/>
        </w:trPr>
        <w:tc>
          <w:tcPr>
            <w:tcW w:w="16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2DB6D46B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Ñuble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FFD5DA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26.835.585</w:t>
            </w:r>
          </w:p>
        </w:tc>
      </w:tr>
      <w:tr w:rsidR="000E21BE" w14:paraId="7E759942" w14:textId="77777777">
        <w:trPr>
          <w:trHeight w:val="300"/>
        </w:trPr>
        <w:tc>
          <w:tcPr>
            <w:tcW w:w="16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30FBFE60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Biobío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5A6F88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68.639.642</w:t>
            </w:r>
          </w:p>
        </w:tc>
      </w:tr>
      <w:tr w:rsidR="000E21BE" w14:paraId="3C5C2882" w14:textId="77777777">
        <w:trPr>
          <w:trHeight w:val="300"/>
        </w:trPr>
        <w:tc>
          <w:tcPr>
            <w:tcW w:w="16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0085658D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La Araucanía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958D58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85.970.056</w:t>
            </w:r>
          </w:p>
        </w:tc>
      </w:tr>
      <w:tr w:rsidR="000E21BE" w14:paraId="7661389F" w14:textId="77777777">
        <w:trPr>
          <w:trHeight w:val="300"/>
        </w:trPr>
        <w:tc>
          <w:tcPr>
            <w:tcW w:w="16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368AE9C4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Los Ríos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36E0F8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20.461.588</w:t>
            </w:r>
          </w:p>
        </w:tc>
      </w:tr>
      <w:tr w:rsidR="000E21BE" w14:paraId="5BD6D211" w14:textId="77777777">
        <w:trPr>
          <w:trHeight w:val="300"/>
        </w:trPr>
        <w:tc>
          <w:tcPr>
            <w:tcW w:w="16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0AC62440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Los Lagos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6961B8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45.785.469</w:t>
            </w:r>
          </w:p>
        </w:tc>
      </w:tr>
      <w:tr w:rsidR="000E21BE" w14:paraId="3365F517" w14:textId="77777777">
        <w:trPr>
          <w:trHeight w:val="300"/>
        </w:trPr>
        <w:tc>
          <w:tcPr>
            <w:tcW w:w="16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5B45CAB0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Aysén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7DAD16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31.839.335</w:t>
            </w:r>
          </w:p>
        </w:tc>
      </w:tr>
      <w:tr w:rsidR="000E21BE" w14:paraId="5F0FE366" w14:textId="77777777">
        <w:trPr>
          <w:trHeight w:val="300"/>
        </w:trPr>
        <w:tc>
          <w:tcPr>
            <w:tcW w:w="16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697853DC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Magallanes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361D53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31.238.721</w:t>
            </w:r>
          </w:p>
        </w:tc>
      </w:tr>
      <w:tr w:rsidR="000E21BE" w14:paraId="2FF566F8" w14:textId="77777777">
        <w:trPr>
          <w:trHeight w:val="300"/>
        </w:trPr>
        <w:tc>
          <w:tcPr>
            <w:tcW w:w="16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EC2E8"/>
            <w:vAlign w:val="center"/>
          </w:tcPr>
          <w:p w14:paraId="7F93AF9F" w14:textId="77777777" w:rsidR="000E21BE" w:rsidRDefault="00000000">
            <w:pPr>
              <w:widowControl/>
              <w:jc w:val="both"/>
              <w:rPr>
                <w:b/>
                <w:color w:val="FFFFFF"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Total</w:t>
            </w:r>
            <w:proofErr w:type="gramEnd"/>
            <w:r>
              <w:rPr>
                <w:b/>
                <w:sz w:val="20"/>
                <w:szCs w:val="20"/>
              </w:rPr>
              <w:t xml:space="preserve"> general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FC5525B" w14:textId="77777777" w:rsidR="000E21BE" w:rsidRDefault="00000000">
            <w:pPr>
              <w:widowControl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612.967.788</w:t>
            </w:r>
          </w:p>
        </w:tc>
      </w:tr>
    </w:tbl>
    <w:p w14:paraId="747BFFDF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</w:rPr>
      </w:pPr>
    </w:p>
    <w:p w14:paraId="61C94900" w14:textId="77777777" w:rsidR="00CE40E4" w:rsidRDefault="00CE40E4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</w:rPr>
      </w:pPr>
    </w:p>
    <w:p w14:paraId="54140EAA" w14:textId="78AE5695" w:rsidR="000E21BE" w:rsidRDefault="00D10F0B">
      <w:pPr>
        <w:pStyle w:val="Ttulo2"/>
        <w:ind w:left="0"/>
        <w:jc w:val="both"/>
        <w:rPr>
          <w:b w:val="0"/>
          <w:sz w:val="15"/>
          <w:szCs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0528" behindDoc="1" locked="0" layoutInCell="1" hidden="0" allowOverlap="1" wp14:anchorId="09D61832" wp14:editId="1A31FF81">
                <wp:simplePos x="0" y="0"/>
                <wp:positionH relativeFrom="column">
                  <wp:posOffset>577900</wp:posOffset>
                </wp:positionH>
                <wp:positionV relativeFrom="paragraph">
                  <wp:posOffset>2406193</wp:posOffset>
                </wp:positionV>
                <wp:extent cx="1478090" cy="1658512"/>
                <wp:effectExtent l="0" t="0" r="0" b="0"/>
                <wp:wrapNone/>
                <wp:docPr id="1953017941" name="Rectángulo 19530179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8090" cy="165851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DC4B6EF" w14:textId="77777777" w:rsidR="00D10F0B" w:rsidRDefault="00D10F0B" w:rsidP="00D10F0B">
                            <w:pPr>
                              <w:spacing w:before="40"/>
                              <w:jc w:val="right"/>
                              <w:textDirection w:val="btLr"/>
                            </w:pPr>
                            <w:r>
                              <w:rPr>
                                <w:color w:val="00224A"/>
                                <w:sz w:val="18"/>
                              </w:rPr>
                              <w:t>Nota: La Inversión regional SUBDERE del año incluye todas las fuentes de financiamiento destinadas al apoyo de proyectos de los programas de SUBDERE, destacando principalmente los programas PMU, PMB, FRC, PRBIPE Y PTRAC.</w:t>
                            </w:r>
                          </w:p>
                          <w:p w14:paraId="0EAADAE0" w14:textId="77777777" w:rsidR="00D10F0B" w:rsidRDefault="00D10F0B" w:rsidP="00D10F0B">
                            <w:pPr>
                              <w:jc w:val="right"/>
                              <w:textDirection w:val="btLr"/>
                            </w:pPr>
                          </w:p>
                          <w:p w14:paraId="4B9B7401" w14:textId="77777777" w:rsidR="00D10F0B" w:rsidRDefault="00D10F0B" w:rsidP="00D10F0B">
                            <w:pPr>
                              <w:jc w:val="right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9D61832" id="Rectángulo 1953017941" o:spid="_x0000_s1029" style="position:absolute;left:0;text-align:left;margin-left:45.5pt;margin-top:189.45pt;width:116.4pt;height:130.6pt;z-index:-25164595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" stroked="f">
                <v:textbox inset="2.53958mm,1.2694mm,2.53958mm,1.2694mm">
                  <w:txbxContent>
                    <w:p w14:paraId="4DC4B6EF" w14:textId="77777777" w:rsidR="00D10F0B" w:rsidRDefault="00D10F0B" w:rsidP="00D10F0B">
                      <w:pPr>
                        <w:spacing w:before="40"/>
                        <w:jc w:val="right"/>
                        <w:textDirection w:val="btLr"/>
                      </w:pPr>
                      <w:r>
                        <w:rPr>
                          <w:color w:val="00224A"/>
                          <w:sz w:val="18"/>
                        </w:rPr>
                        <w:t>Nota: La Inversión regional SUBDERE del año incluye todas las fuentes de financiamiento destinadas al apoyo de proyectos de los programas de SUBDERE, destacando principalmente los programas PMU, PMB, FRC, PRBIPE Y PTRAC.</w:t>
                      </w:r>
                    </w:p>
                    <w:p w14:paraId="0EAADAE0" w14:textId="77777777" w:rsidR="00D10F0B" w:rsidRDefault="00D10F0B" w:rsidP="00D10F0B">
                      <w:pPr>
                        <w:jc w:val="right"/>
                        <w:textDirection w:val="btLr"/>
                      </w:pPr>
                    </w:p>
                    <w:p w14:paraId="4B9B7401" w14:textId="77777777" w:rsidR="00D10F0B" w:rsidRDefault="00D10F0B" w:rsidP="00D10F0B">
                      <w:pPr>
                        <w:jc w:val="right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sz w:val="28"/>
          <w:szCs w:val="28"/>
        </w:rPr>
        <w:t>Cuadro de Inversión Regional SUBDERE año 2023</w:t>
      </w:r>
      <w:r>
        <w:rPr>
          <w:noProof/>
        </w:rPr>
        <mc:AlternateContent>
          <mc:Choice Requires="wps">
            <w:drawing>
              <wp:anchor distT="0" distB="0" distL="0" distR="0" simplePos="0" relativeHeight="251665408" behindDoc="1" locked="0" layoutInCell="1" hidden="0" allowOverlap="1" wp14:anchorId="2B0B261E" wp14:editId="65C20AA3">
                <wp:simplePos x="0" y="0"/>
                <wp:positionH relativeFrom="column">
                  <wp:posOffset>457200</wp:posOffset>
                </wp:positionH>
                <wp:positionV relativeFrom="paragraph">
                  <wp:posOffset>6502400</wp:posOffset>
                </wp:positionV>
                <wp:extent cx="1478090" cy="1701644"/>
                <wp:effectExtent l="0" t="0" r="0" b="0"/>
                <wp:wrapNone/>
                <wp:docPr id="1322569062" name="Rectángulo 13225690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611718" y="2933941"/>
                          <a:ext cx="1468565" cy="169211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171B971" w14:textId="77777777" w:rsidR="000E21BE" w:rsidRDefault="00000000">
                            <w:pPr>
                              <w:spacing w:before="40"/>
                              <w:jc w:val="right"/>
                              <w:textDirection w:val="btLr"/>
                            </w:pPr>
                            <w:r>
                              <w:rPr>
                                <w:color w:val="00224A"/>
                                <w:sz w:val="18"/>
                              </w:rPr>
                              <w:t>Nota: La Inversión regional SUBDERE del año incluye todas las fuentes de financiamiento destinadas al apoyo de proyectos de los programas de SUBDERE, destacando principalmente los programas PMU, PMB, FRC, PRBIPE Y PTRAC.</w:t>
                            </w:r>
                          </w:p>
                          <w:p w14:paraId="42E40DDA" w14:textId="77777777" w:rsidR="000E21BE" w:rsidRDefault="000E21BE">
                            <w:pPr>
                              <w:jc w:val="right"/>
                              <w:textDirection w:val="btLr"/>
                            </w:pPr>
                          </w:p>
                          <w:p w14:paraId="41F440F5" w14:textId="77777777" w:rsidR="000E21BE" w:rsidRDefault="00000000">
                            <w:pPr>
                              <w:spacing w:before="40"/>
                              <w:jc w:val="right"/>
                              <w:textDirection w:val="btLr"/>
                            </w:pPr>
                            <w:r>
                              <w:rPr>
                                <w:color w:val="00224A"/>
                                <w:sz w:val="18"/>
                              </w:rPr>
                              <w:t>.</w:t>
                            </w:r>
                          </w:p>
                          <w:p w14:paraId="526CCBE6" w14:textId="77777777" w:rsidR="000E21BE" w:rsidRDefault="000E21BE">
                            <w:pPr>
                              <w:jc w:val="right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B0B261E" id="Rectángulo 1322569062" o:spid="_x0000_s1030" style="position:absolute;left:0;text-align:left;margin-left:36pt;margin-top:512pt;width:116.4pt;height:134pt;z-index:-25165107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" stroked="f">
                <v:textbox inset="2.53958mm,1.2694mm,2.53958mm,1.2694mm">
                  <w:txbxContent>
                    <w:p w14:paraId="4171B971" w14:textId="77777777" w:rsidR="000E21BE" w:rsidRDefault="00000000">
                      <w:pPr>
                        <w:spacing w:before="40"/>
                        <w:jc w:val="right"/>
                        <w:textDirection w:val="btLr"/>
                      </w:pPr>
                      <w:r>
                        <w:rPr>
                          <w:color w:val="00224A"/>
                          <w:sz w:val="18"/>
                        </w:rPr>
                        <w:t>Nota: La Inversión regional SUBDERE del año incluye todas las fuentes de financiamiento destinadas al apoyo de proyectos de los programas de SUBDERE, destacando principalmente los programas PMU, PMB, FRC, PRBIPE Y PTRAC.</w:t>
                      </w:r>
                    </w:p>
                    <w:p w14:paraId="42E40DDA" w14:textId="77777777" w:rsidR="000E21BE" w:rsidRDefault="000E21BE">
                      <w:pPr>
                        <w:jc w:val="right"/>
                        <w:textDirection w:val="btLr"/>
                      </w:pPr>
                    </w:p>
                    <w:p w14:paraId="41F440F5" w14:textId="77777777" w:rsidR="000E21BE" w:rsidRDefault="00000000">
                      <w:pPr>
                        <w:spacing w:before="40"/>
                        <w:jc w:val="right"/>
                        <w:textDirection w:val="btLr"/>
                      </w:pPr>
                      <w:r>
                        <w:rPr>
                          <w:color w:val="00224A"/>
                          <w:sz w:val="18"/>
                        </w:rPr>
                        <w:t>.</w:t>
                      </w:r>
                    </w:p>
                    <w:p w14:paraId="526CCBE6" w14:textId="77777777" w:rsidR="000E21BE" w:rsidRDefault="000E21BE">
                      <w:pPr>
                        <w:jc w:val="right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tbl>
      <w:tblPr>
        <w:tblStyle w:val="a5"/>
        <w:tblW w:w="4980" w:type="dxa"/>
        <w:tblInd w:w="330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01"/>
        <w:gridCol w:w="3279"/>
      </w:tblGrid>
      <w:tr w:rsidR="000E21BE" w14:paraId="7311C5C7" w14:textId="77777777">
        <w:trPr>
          <w:trHeight w:val="300"/>
        </w:trPr>
        <w:tc>
          <w:tcPr>
            <w:tcW w:w="1701" w:type="dxa"/>
            <w:shd w:val="clear" w:color="auto" w:fill="004696"/>
            <w:vAlign w:val="center"/>
          </w:tcPr>
          <w:p w14:paraId="208364F4" w14:textId="77777777" w:rsidR="000E21BE" w:rsidRDefault="00000000">
            <w:pPr>
              <w:widowControl/>
              <w:jc w:val="both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Región</w:t>
            </w:r>
          </w:p>
        </w:tc>
        <w:tc>
          <w:tcPr>
            <w:tcW w:w="3279" w:type="dxa"/>
            <w:shd w:val="clear" w:color="auto" w:fill="004696"/>
            <w:vAlign w:val="center"/>
          </w:tcPr>
          <w:p w14:paraId="6BC4AC45" w14:textId="77777777" w:rsidR="000E21BE" w:rsidRDefault="00000000">
            <w:pPr>
              <w:widowControl/>
              <w:jc w:val="both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Monto Transferido por Región (M$)</w:t>
            </w:r>
          </w:p>
        </w:tc>
      </w:tr>
      <w:tr w:rsidR="000E21BE" w14:paraId="7D142935" w14:textId="77777777">
        <w:trPr>
          <w:trHeight w:val="300"/>
        </w:trPr>
        <w:tc>
          <w:tcPr>
            <w:tcW w:w="1701" w:type="dxa"/>
            <w:shd w:val="clear" w:color="auto" w:fill="D3DEF2"/>
            <w:vAlign w:val="center"/>
          </w:tcPr>
          <w:p w14:paraId="0BDD6718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Arica y Parinacota</w:t>
            </w:r>
          </w:p>
        </w:tc>
        <w:tc>
          <w:tcPr>
            <w:tcW w:w="3279" w:type="dxa"/>
            <w:shd w:val="clear" w:color="auto" w:fill="auto"/>
            <w:vAlign w:val="center"/>
          </w:tcPr>
          <w:p w14:paraId="47C8CAAD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1.651.263</w:t>
            </w:r>
          </w:p>
        </w:tc>
      </w:tr>
      <w:tr w:rsidR="000E21BE" w14:paraId="67849853" w14:textId="77777777">
        <w:trPr>
          <w:trHeight w:val="300"/>
        </w:trPr>
        <w:tc>
          <w:tcPr>
            <w:tcW w:w="1701" w:type="dxa"/>
            <w:shd w:val="clear" w:color="auto" w:fill="D3DEF2"/>
            <w:vAlign w:val="center"/>
          </w:tcPr>
          <w:p w14:paraId="097DD8B5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Tarapacá</w:t>
            </w:r>
          </w:p>
        </w:tc>
        <w:tc>
          <w:tcPr>
            <w:tcW w:w="3279" w:type="dxa"/>
            <w:shd w:val="clear" w:color="auto" w:fill="auto"/>
            <w:vAlign w:val="center"/>
          </w:tcPr>
          <w:p w14:paraId="3BEF545F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4.987.072</w:t>
            </w:r>
          </w:p>
        </w:tc>
      </w:tr>
      <w:tr w:rsidR="000E21BE" w14:paraId="0B7C19E3" w14:textId="77777777">
        <w:trPr>
          <w:trHeight w:val="300"/>
        </w:trPr>
        <w:tc>
          <w:tcPr>
            <w:tcW w:w="1701" w:type="dxa"/>
            <w:shd w:val="clear" w:color="auto" w:fill="D3DEF2"/>
            <w:vAlign w:val="center"/>
          </w:tcPr>
          <w:p w14:paraId="64D4A3DB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Antofagasta</w:t>
            </w:r>
          </w:p>
        </w:tc>
        <w:tc>
          <w:tcPr>
            <w:tcW w:w="3279" w:type="dxa"/>
            <w:shd w:val="clear" w:color="auto" w:fill="auto"/>
            <w:vAlign w:val="center"/>
          </w:tcPr>
          <w:p w14:paraId="4C9F047D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6.862.960</w:t>
            </w:r>
          </w:p>
        </w:tc>
      </w:tr>
      <w:tr w:rsidR="000E21BE" w14:paraId="72C0F6DD" w14:textId="77777777">
        <w:trPr>
          <w:trHeight w:val="300"/>
        </w:trPr>
        <w:tc>
          <w:tcPr>
            <w:tcW w:w="1701" w:type="dxa"/>
            <w:shd w:val="clear" w:color="auto" w:fill="D3DEF2"/>
            <w:vAlign w:val="center"/>
          </w:tcPr>
          <w:p w14:paraId="32F9D136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Atacama</w:t>
            </w:r>
          </w:p>
        </w:tc>
        <w:tc>
          <w:tcPr>
            <w:tcW w:w="3279" w:type="dxa"/>
            <w:shd w:val="clear" w:color="auto" w:fill="auto"/>
            <w:vAlign w:val="center"/>
          </w:tcPr>
          <w:p w14:paraId="34DBE3DA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5.946.004</w:t>
            </w:r>
          </w:p>
        </w:tc>
      </w:tr>
      <w:tr w:rsidR="000E21BE" w14:paraId="1CB571BC" w14:textId="77777777">
        <w:trPr>
          <w:trHeight w:val="300"/>
        </w:trPr>
        <w:tc>
          <w:tcPr>
            <w:tcW w:w="1701" w:type="dxa"/>
            <w:shd w:val="clear" w:color="auto" w:fill="D3DEF2"/>
            <w:vAlign w:val="center"/>
          </w:tcPr>
          <w:p w14:paraId="6FCB5FDD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Coquimbo</w:t>
            </w:r>
          </w:p>
        </w:tc>
        <w:tc>
          <w:tcPr>
            <w:tcW w:w="3279" w:type="dxa"/>
            <w:shd w:val="clear" w:color="auto" w:fill="auto"/>
            <w:vAlign w:val="center"/>
          </w:tcPr>
          <w:p w14:paraId="68298A8F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11.689.654</w:t>
            </w:r>
          </w:p>
        </w:tc>
      </w:tr>
      <w:tr w:rsidR="000E21BE" w14:paraId="2775521E" w14:textId="77777777">
        <w:trPr>
          <w:trHeight w:val="300"/>
        </w:trPr>
        <w:tc>
          <w:tcPr>
            <w:tcW w:w="1701" w:type="dxa"/>
            <w:shd w:val="clear" w:color="auto" w:fill="D3DEF2"/>
            <w:vAlign w:val="center"/>
          </w:tcPr>
          <w:p w14:paraId="77D8EE58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Valparaíso</w:t>
            </w:r>
          </w:p>
        </w:tc>
        <w:tc>
          <w:tcPr>
            <w:tcW w:w="3279" w:type="dxa"/>
            <w:shd w:val="clear" w:color="auto" w:fill="auto"/>
            <w:vAlign w:val="center"/>
          </w:tcPr>
          <w:p w14:paraId="583C96E2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36.575.510</w:t>
            </w:r>
          </w:p>
        </w:tc>
      </w:tr>
      <w:tr w:rsidR="000E21BE" w14:paraId="47545D8C" w14:textId="77777777">
        <w:trPr>
          <w:trHeight w:val="300"/>
        </w:trPr>
        <w:tc>
          <w:tcPr>
            <w:tcW w:w="1701" w:type="dxa"/>
            <w:shd w:val="clear" w:color="auto" w:fill="D3DEF2"/>
            <w:vAlign w:val="center"/>
          </w:tcPr>
          <w:p w14:paraId="5ADBFF98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Metropolitana</w:t>
            </w:r>
          </w:p>
        </w:tc>
        <w:tc>
          <w:tcPr>
            <w:tcW w:w="3279" w:type="dxa"/>
            <w:shd w:val="clear" w:color="auto" w:fill="auto"/>
            <w:vAlign w:val="center"/>
          </w:tcPr>
          <w:p w14:paraId="44E95AFC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67.351.474</w:t>
            </w:r>
          </w:p>
        </w:tc>
      </w:tr>
      <w:tr w:rsidR="000E21BE" w14:paraId="1AC856DC" w14:textId="77777777">
        <w:trPr>
          <w:trHeight w:val="300"/>
        </w:trPr>
        <w:tc>
          <w:tcPr>
            <w:tcW w:w="1701" w:type="dxa"/>
            <w:shd w:val="clear" w:color="auto" w:fill="D3DEF2"/>
            <w:vAlign w:val="center"/>
          </w:tcPr>
          <w:p w14:paraId="0A95A233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O’Higgins</w:t>
            </w:r>
          </w:p>
        </w:tc>
        <w:tc>
          <w:tcPr>
            <w:tcW w:w="3279" w:type="dxa"/>
            <w:shd w:val="clear" w:color="auto" w:fill="auto"/>
            <w:vAlign w:val="center"/>
          </w:tcPr>
          <w:p w14:paraId="297C25F1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27.155.185</w:t>
            </w:r>
          </w:p>
        </w:tc>
      </w:tr>
      <w:tr w:rsidR="000E21BE" w14:paraId="2450161C" w14:textId="77777777">
        <w:trPr>
          <w:trHeight w:val="300"/>
        </w:trPr>
        <w:tc>
          <w:tcPr>
            <w:tcW w:w="1701" w:type="dxa"/>
            <w:shd w:val="clear" w:color="auto" w:fill="D3DEF2"/>
            <w:vAlign w:val="center"/>
          </w:tcPr>
          <w:p w14:paraId="12B8F444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Maule</w:t>
            </w:r>
          </w:p>
        </w:tc>
        <w:tc>
          <w:tcPr>
            <w:tcW w:w="3279" w:type="dxa"/>
            <w:shd w:val="clear" w:color="auto" w:fill="auto"/>
            <w:vAlign w:val="center"/>
          </w:tcPr>
          <w:p w14:paraId="5C7F8CF9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22.910.242</w:t>
            </w:r>
          </w:p>
        </w:tc>
      </w:tr>
      <w:tr w:rsidR="000E21BE" w14:paraId="0932D5DF" w14:textId="77777777">
        <w:trPr>
          <w:trHeight w:val="300"/>
        </w:trPr>
        <w:tc>
          <w:tcPr>
            <w:tcW w:w="1701" w:type="dxa"/>
            <w:shd w:val="clear" w:color="auto" w:fill="D3DEF2"/>
            <w:vAlign w:val="center"/>
          </w:tcPr>
          <w:p w14:paraId="2F6CE7FF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Ñuble</w:t>
            </w:r>
          </w:p>
        </w:tc>
        <w:tc>
          <w:tcPr>
            <w:tcW w:w="3279" w:type="dxa"/>
            <w:shd w:val="clear" w:color="auto" w:fill="auto"/>
            <w:vAlign w:val="center"/>
          </w:tcPr>
          <w:p w14:paraId="000CE17B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14.722.999</w:t>
            </w:r>
          </w:p>
        </w:tc>
      </w:tr>
      <w:tr w:rsidR="000E21BE" w14:paraId="0663A6D3" w14:textId="77777777">
        <w:trPr>
          <w:trHeight w:val="300"/>
        </w:trPr>
        <w:tc>
          <w:tcPr>
            <w:tcW w:w="1701" w:type="dxa"/>
            <w:shd w:val="clear" w:color="auto" w:fill="D3DEF2"/>
            <w:vAlign w:val="center"/>
          </w:tcPr>
          <w:p w14:paraId="7E43899A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Biobío</w:t>
            </w:r>
          </w:p>
        </w:tc>
        <w:tc>
          <w:tcPr>
            <w:tcW w:w="3279" w:type="dxa"/>
            <w:shd w:val="clear" w:color="auto" w:fill="auto"/>
            <w:vAlign w:val="center"/>
          </w:tcPr>
          <w:p w14:paraId="0002CC48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68.001.032</w:t>
            </w:r>
          </w:p>
        </w:tc>
      </w:tr>
      <w:tr w:rsidR="000E21BE" w14:paraId="4535A391" w14:textId="77777777">
        <w:trPr>
          <w:trHeight w:val="300"/>
        </w:trPr>
        <w:tc>
          <w:tcPr>
            <w:tcW w:w="1701" w:type="dxa"/>
            <w:shd w:val="clear" w:color="auto" w:fill="D3DEF2"/>
            <w:vAlign w:val="center"/>
          </w:tcPr>
          <w:p w14:paraId="380396C4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La Araucanía</w:t>
            </w:r>
          </w:p>
        </w:tc>
        <w:tc>
          <w:tcPr>
            <w:tcW w:w="3279" w:type="dxa"/>
            <w:shd w:val="clear" w:color="auto" w:fill="auto"/>
            <w:vAlign w:val="center"/>
          </w:tcPr>
          <w:p w14:paraId="7CBBA1A8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45.855.923</w:t>
            </w:r>
          </w:p>
        </w:tc>
      </w:tr>
      <w:tr w:rsidR="000E21BE" w14:paraId="73B16081" w14:textId="77777777">
        <w:trPr>
          <w:trHeight w:val="300"/>
        </w:trPr>
        <w:tc>
          <w:tcPr>
            <w:tcW w:w="1701" w:type="dxa"/>
            <w:shd w:val="clear" w:color="auto" w:fill="D3DEF2"/>
            <w:vAlign w:val="center"/>
          </w:tcPr>
          <w:p w14:paraId="35D0BD21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Los Ríos</w:t>
            </w:r>
          </w:p>
        </w:tc>
        <w:tc>
          <w:tcPr>
            <w:tcW w:w="3279" w:type="dxa"/>
            <w:shd w:val="clear" w:color="auto" w:fill="auto"/>
            <w:vAlign w:val="center"/>
          </w:tcPr>
          <w:p w14:paraId="23F47175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16.080.008</w:t>
            </w:r>
          </w:p>
        </w:tc>
      </w:tr>
      <w:tr w:rsidR="000E21BE" w14:paraId="10232040" w14:textId="77777777">
        <w:trPr>
          <w:trHeight w:val="300"/>
        </w:trPr>
        <w:tc>
          <w:tcPr>
            <w:tcW w:w="1701" w:type="dxa"/>
            <w:shd w:val="clear" w:color="auto" w:fill="D3DEF2"/>
            <w:vAlign w:val="center"/>
          </w:tcPr>
          <w:p w14:paraId="76D02E3E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Los Lagos</w:t>
            </w:r>
          </w:p>
        </w:tc>
        <w:tc>
          <w:tcPr>
            <w:tcW w:w="3279" w:type="dxa"/>
            <w:shd w:val="clear" w:color="auto" w:fill="auto"/>
            <w:vAlign w:val="center"/>
          </w:tcPr>
          <w:p w14:paraId="2B8B0A9E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37.105.495</w:t>
            </w:r>
          </w:p>
        </w:tc>
      </w:tr>
      <w:tr w:rsidR="000E21BE" w14:paraId="6C961975" w14:textId="77777777">
        <w:trPr>
          <w:trHeight w:val="300"/>
        </w:trPr>
        <w:tc>
          <w:tcPr>
            <w:tcW w:w="1701" w:type="dxa"/>
            <w:shd w:val="clear" w:color="auto" w:fill="D3DEF2"/>
            <w:vAlign w:val="center"/>
          </w:tcPr>
          <w:p w14:paraId="2E98EA5A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Aysén</w:t>
            </w:r>
          </w:p>
        </w:tc>
        <w:tc>
          <w:tcPr>
            <w:tcW w:w="3279" w:type="dxa"/>
            <w:shd w:val="clear" w:color="auto" w:fill="auto"/>
            <w:vAlign w:val="center"/>
          </w:tcPr>
          <w:p w14:paraId="3B6353E4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9.313.403</w:t>
            </w:r>
          </w:p>
        </w:tc>
      </w:tr>
      <w:tr w:rsidR="000E21BE" w14:paraId="27BD6C8A" w14:textId="77777777">
        <w:trPr>
          <w:trHeight w:val="300"/>
        </w:trPr>
        <w:tc>
          <w:tcPr>
            <w:tcW w:w="1701" w:type="dxa"/>
            <w:shd w:val="clear" w:color="auto" w:fill="D3DEF2"/>
            <w:vAlign w:val="center"/>
          </w:tcPr>
          <w:p w14:paraId="555B9038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Magallanes</w:t>
            </w:r>
          </w:p>
        </w:tc>
        <w:tc>
          <w:tcPr>
            <w:tcW w:w="3279" w:type="dxa"/>
            <w:shd w:val="clear" w:color="auto" w:fill="auto"/>
            <w:vAlign w:val="center"/>
          </w:tcPr>
          <w:p w14:paraId="34B891C8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6.152.688</w:t>
            </w:r>
          </w:p>
        </w:tc>
      </w:tr>
      <w:tr w:rsidR="000E21BE" w14:paraId="6FBDADC7" w14:textId="77777777">
        <w:trPr>
          <w:trHeight w:val="300"/>
        </w:trPr>
        <w:tc>
          <w:tcPr>
            <w:tcW w:w="1701" w:type="dxa"/>
            <w:shd w:val="clear" w:color="auto" w:fill="AEC2E8"/>
            <w:vAlign w:val="center"/>
          </w:tcPr>
          <w:p w14:paraId="28F9BD88" w14:textId="77777777" w:rsidR="000E21BE" w:rsidRDefault="00000000">
            <w:pPr>
              <w:widowControl/>
              <w:jc w:val="both"/>
              <w:rPr>
                <w:b/>
                <w:color w:val="FFFFFF"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Total</w:t>
            </w:r>
            <w:proofErr w:type="gramEnd"/>
            <w:r>
              <w:rPr>
                <w:b/>
                <w:sz w:val="20"/>
                <w:szCs w:val="20"/>
              </w:rPr>
              <w:t xml:space="preserve"> general</w:t>
            </w:r>
          </w:p>
        </w:tc>
        <w:tc>
          <w:tcPr>
            <w:tcW w:w="3279" w:type="dxa"/>
            <w:shd w:val="clear" w:color="auto" w:fill="FFFFFF"/>
            <w:vAlign w:val="center"/>
          </w:tcPr>
          <w:p w14:paraId="0FE8C441" w14:textId="77777777" w:rsidR="000E21BE" w:rsidRDefault="00000000">
            <w:pPr>
              <w:widowControl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382.360.912</w:t>
            </w:r>
          </w:p>
        </w:tc>
      </w:tr>
    </w:tbl>
    <w:p w14:paraId="5AC0A606" w14:textId="02D9CD87" w:rsidR="000E21BE" w:rsidRDefault="00000000">
      <w:pPr>
        <w:jc w:val="both"/>
        <w:rPr>
          <w:sz w:val="21"/>
          <w:szCs w:val="21"/>
        </w:rPr>
      </w:pPr>
      <w:r>
        <w:rPr>
          <w:sz w:val="21"/>
          <w:szCs w:val="21"/>
        </w:rPr>
        <w:t xml:space="preserve">   </w:t>
      </w:r>
    </w:p>
    <w:p w14:paraId="2BAE2267" w14:textId="77777777" w:rsidR="000E21BE" w:rsidRDefault="00000000">
      <w:pPr>
        <w:rPr>
          <w:sz w:val="21"/>
          <w:szCs w:val="21"/>
        </w:rPr>
      </w:pPr>
      <w:r>
        <w:br w:type="page"/>
      </w:r>
    </w:p>
    <w:p w14:paraId="5B62C20F" w14:textId="0261D937" w:rsidR="000E21BE" w:rsidRDefault="00000000">
      <w:pPr>
        <w:pStyle w:val="Ttulo2"/>
        <w:ind w:left="0"/>
        <w:jc w:val="both"/>
      </w:pPr>
      <w:r>
        <w:lastRenderedPageBreak/>
        <w:t xml:space="preserve">Cuadro de Inversión Regional SUBDERE </w:t>
      </w:r>
      <w:r w:rsidR="00A62DE1">
        <w:t xml:space="preserve">año </w:t>
      </w:r>
      <w:r>
        <w:t>2024</w:t>
      </w:r>
    </w:p>
    <w:p w14:paraId="76BBA0D9" w14:textId="3B0698BA" w:rsidR="000E21BE" w:rsidRDefault="00D10F0B">
      <w:pPr>
        <w:pBdr>
          <w:top w:val="nil"/>
          <w:left w:val="nil"/>
          <w:bottom w:val="nil"/>
          <w:right w:val="nil"/>
          <w:between w:val="nil"/>
        </w:pBdr>
        <w:spacing w:before="1"/>
        <w:jc w:val="both"/>
        <w:rPr>
          <w:b/>
          <w:color w:val="000000"/>
          <w:sz w:val="15"/>
          <w:szCs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6432" behindDoc="1" locked="0" layoutInCell="1" hidden="0" allowOverlap="1" wp14:anchorId="601F02D4" wp14:editId="12EA0ED2">
                <wp:simplePos x="0" y="0"/>
                <wp:positionH relativeFrom="column">
                  <wp:posOffset>476968</wp:posOffset>
                </wp:positionH>
                <wp:positionV relativeFrom="paragraph">
                  <wp:posOffset>2241771</wp:posOffset>
                </wp:positionV>
                <wp:extent cx="1477645" cy="1744345"/>
                <wp:effectExtent l="0" t="0" r="0" b="0"/>
                <wp:wrapNone/>
                <wp:docPr id="1322569065" name="Rectángulo 13225690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7645" cy="17443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7E74B1AE" w14:textId="77777777" w:rsidR="000E21BE" w:rsidRDefault="00000000">
                            <w:pPr>
                              <w:spacing w:before="40"/>
                              <w:jc w:val="right"/>
                              <w:textDirection w:val="btLr"/>
                            </w:pPr>
                            <w:r>
                              <w:rPr>
                                <w:color w:val="00224A"/>
                                <w:sz w:val="18"/>
                              </w:rPr>
                              <w:t>Nota: La Inversión regional SUBDERE del año incluye todas las fuentes de financiamiento destinadas al apoyo de proyectos de los programas de SUBDERE, destacando principalmente los programas PMU, PMB, FRC, PRBIPE Y PTRAC.</w:t>
                            </w:r>
                          </w:p>
                          <w:p w14:paraId="5DD1626F" w14:textId="77777777" w:rsidR="000E21BE" w:rsidRDefault="000E21BE">
                            <w:pPr>
                              <w:jc w:val="right"/>
                              <w:textDirection w:val="btLr"/>
                            </w:pPr>
                          </w:p>
                          <w:p w14:paraId="44BA30D6" w14:textId="77777777" w:rsidR="000E21BE" w:rsidRDefault="000E21BE">
                            <w:pPr>
                              <w:jc w:val="right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01F02D4" id="Rectángulo 1322569065" o:spid="_x0000_s1031" style="position:absolute;left:0;text-align:left;margin-left:37.55pt;margin-top:176.5pt;width:116.35pt;height:137.35pt;z-index:-25165004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" stroked="f">
                <v:textbox inset="2.53958mm,1.2694mm,2.53958mm,1.2694mm">
                  <w:txbxContent>
                    <w:p w14:paraId="7E74B1AE" w14:textId="77777777" w:rsidR="000E21BE" w:rsidRDefault="00000000">
                      <w:pPr>
                        <w:spacing w:before="40"/>
                        <w:jc w:val="right"/>
                        <w:textDirection w:val="btLr"/>
                      </w:pPr>
                      <w:r>
                        <w:rPr>
                          <w:color w:val="00224A"/>
                          <w:sz w:val="18"/>
                        </w:rPr>
                        <w:t>Nota: La Inversión regional SUBDERE del año incluye todas las fuentes de financiamiento destinadas al apoyo de proyectos de los programas de SUBDERE, destacando principalmente los programas PMU, PMB, FRC, PRBIPE Y PTRAC.</w:t>
                      </w:r>
                    </w:p>
                    <w:p w14:paraId="5DD1626F" w14:textId="77777777" w:rsidR="000E21BE" w:rsidRDefault="000E21BE">
                      <w:pPr>
                        <w:jc w:val="right"/>
                        <w:textDirection w:val="btLr"/>
                      </w:pPr>
                    </w:p>
                    <w:p w14:paraId="44BA30D6" w14:textId="77777777" w:rsidR="000E21BE" w:rsidRDefault="000E21BE">
                      <w:pPr>
                        <w:jc w:val="right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tbl>
      <w:tblPr>
        <w:tblStyle w:val="a6"/>
        <w:tblW w:w="5025" w:type="dxa"/>
        <w:tblInd w:w="3192" w:type="dxa"/>
        <w:tblLayout w:type="fixed"/>
        <w:tblLook w:val="0400" w:firstRow="0" w:lastRow="0" w:firstColumn="0" w:lastColumn="0" w:noHBand="0" w:noVBand="1"/>
      </w:tblPr>
      <w:tblGrid>
        <w:gridCol w:w="1600"/>
        <w:gridCol w:w="3425"/>
      </w:tblGrid>
      <w:tr w:rsidR="000E21BE" w14:paraId="65DE809D" w14:textId="77777777">
        <w:trPr>
          <w:trHeight w:val="300"/>
        </w:trPr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696"/>
            <w:vAlign w:val="center"/>
          </w:tcPr>
          <w:p w14:paraId="17169826" w14:textId="77777777" w:rsidR="000E21BE" w:rsidRDefault="00000000">
            <w:pPr>
              <w:widowControl/>
              <w:jc w:val="both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Región</w:t>
            </w:r>
          </w:p>
        </w:tc>
        <w:tc>
          <w:tcPr>
            <w:tcW w:w="3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004696"/>
            <w:vAlign w:val="center"/>
          </w:tcPr>
          <w:p w14:paraId="58D7B242" w14:textId="77777777" w:rsidR="000E21BE" w:rsidRDefault="00000000">
            <w:pPr>
              <w:widowControl/>
              <w:jc w:val="both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Monto Transferido por Región M$</w:t>
            </w:r>
          </w:p>
        </w:tc>
      </w:tr>
      <w:tr w:rsidR="000E21BE" w14:paraId="358F3DCC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23F903CB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Arica y Parinacota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31346C8" w14:textId="6B7F50F5" w:rsidR="000E21BE" w:rsidRDefault="00A62DE1" w:rsidP="00A937F4">
            <w:pPr>
              <w:widowControl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3.956.276</w:t>
            </w:r>
          </w:p>
        </w:tc>
      </w:tr>
      <w:tr w:rsidR="000E21BE" w14:paraId="724E6EC7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53429E77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Tarapacá</w:t>
            </w:r>
          </w:p>
        </w:tc>
        <w:tc>
          <w:tcPr>
            <w:tcW w:w="3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DC60F86" w14:textId="162EEAD2" w:rsidR="000E21BE" w:rsidRDefault="00A62DE1" w:rsidP="00A937F4">
            <w:pPr>
              <w:widowControl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7.971.265 </w:t>
            </w:r>
          </w:p>
        </w:tc>
      </w:tr>
      <w:tr w:rsidR="000E21BE" w14:paraId="324A5EF6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45FCC619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Antofagasta</w:t>
            </w:r>
          </w:p>
        </w:tc>
        <w:tc>
          <w:tcPr>
            <w:tcW w:w="3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D488606" w14:textId="76CE584F" w:rsidR="000E21BE" w:rsidRDefault="00A62DE1" w:rsidP="00A937F4">
            <w:pPr>
              <w:widowControl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10.242.286 </w:t>
            </w:r>
          </w:p>
        </w:tc>
      </w:tr>
      <w:tr w:rsidR="000E21BE" w14:paraId="4AC950F1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6A29C17B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Atacama</w:t>
            </w:r>
          </w:p>
        </w:tc>
        <w:tc>
          <w:tcPr>
            <w:tcW w:w="3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EF07BC6" w14:textId="5EA7E00E" w:rsidR="000E21BE" w:rsidRDefault="00A937F4" w:rsidP="00A937F4">
            <w:pPr>
              <w:widowControl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6.108.457</w:t>
            </w:r>
          </w:p>
        </w:tc>
      </w:tr>
      <w:tr w:rsidR="000E21BE" w14:paraId="0FC9F7B1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28330A9D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Coquimbo</w:t>
            </w:r>
          </w:p>
        </w:tc>
        <w:tc>
          <w:tcPr>
            <w:tcW w:w="3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92AF370" w14:textId="2B9FC434" w:rsidR="000E21BE" w:rsidRDefault="00A937F4" w:rsidP="00A937F4">
            <w:pPr>
              <w:widowControl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15.613.156 </w:t>
            </w:r>
          </w:p>
        </w:tc>
      </w:tr>
      <w:tr w:rsidR="000E21BE" w14:paraId="212C7990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522FF945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Valparaíso</w:t>
            </w:r>
          </w:p>
        </w:tc>
        <w:tc>
          <w:tcPr>
            <w:tcW w:w="3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57AC035" w14:textId="7930334A" w:rsidR="000E21BE" w:rsidRDefault="00A937F4" w:rsidP="00A937F4">
            <w:pPr>
              <w:widowControl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27.374.294 </w:t>
            </w:r>
          </w:p>
        </w:tc>
      </w:tr>
      <w:tr w:rsidR="000E21BE" w14:paraId="09BD63A0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424047A7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Metropolitana</w:t>
            </w:r>
          </w:p>
        </w:tc>
        <w:tc>
          <w:tcPr>
            <w:tcW w:w="3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709B04E" w14:textId="78B1C1C6" w:rsidR="000E21BE" w:rsidRDefault="00A937F4" w:rsidP="00A937F4">
            <w:pPr>
              <w:widowControl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72.047.811</w:t>
            </w:r>
          </w:p>
        </w:tc>
      </w:tr>
      <w:tr w:rsidR="000E21BE" w14:paraId="7CB07971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41A3A8F2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O’Higgins</w:t>
            </w:r>
          </w:p>
        </w:tc>
        <w:tc>
          <w:tcPr>
            <w:tcW w:w="3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E95321E" w14:textId="7B023903" w:rsidR="000E21BE" w:rsidRDefault="00A937F4" w:rsidP="00A937F4">
            <w:pPr>
              <w:widowControl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13.730.109</w:t>
            </w:r>
          </w:p>
        </w:tc>
      </w:tr>
      <w:tr w:rsidR="000E21BE" w14:paraId="309957E4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192FEE5F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Maule</w:t>
            </w:r>
          </w:p>
        </w:tc>
        <w:tc>
          <w:tcPr>
            <w:tcW w:w="3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ED871F9" w14:textId="47570C69" w:rsidR="000E21BE" w:rsidRDefault="00A937F4" w:rsidP="00A937F4">
            <w:pPr>
              <w:widowControl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16.553.479</w:t>
            </w:r>
          </w:p>
        </w:tc>
      </w:tr>
      <w:tr w:rsidR="000E21BE" w14:paraId="3AAEF84A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05CD9807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Ñuble</w:t>
            </w:r>
          </w:p>
        </w:tc>
        <w:tc>
          <w:tcPr>
            <w:tcW w:w="3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B4E01FC" w14:textId="2F7CF0D7" w:rsidR="000E21BE" w:rsidRDefault="00A937F4" w:rsidP="00A937F4">
            <w:pPr>
              <w:widowControl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14.710.958</w:t>
            </w:r>
          </w:p>
        </w:tc>
      </w:tr>
      <w:tr w:rsidR="000E21BE" w14:paraId="5675B1DB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6577FD41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Biobío</w:t>
            </w:r>
          </w:p>
        </w:tc>
        <w:tc>
          <w:tcPr>
            <w:tcW w:w="3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73BA6AA" w14:textId="076D17A3" w:rsidR="000E21BE" w:rsidRDefault="00A937F4" w:rsidP="00A937F4">
            <w:pPr>
              <w:widowControl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49.166.051</w:t>
            </w:r>
          </w:p>
        </w:tc>
      </w:tr>
      <w:tr w:rsidR="000E21BE" w14:paraId="1583E7BE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7C350030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La Araucanía</w:t>
            </w:r>
          </w:p>
        </w:tc>
        <w:tc>
          <w:tcPr>
            <w:tcW w:w="3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8552548" w14:textId="1AA2BEC2" w:rsidR="000E21BE" w:rsidRDefault="00A937F4" w:rsidP="00A937F4">
            <w:pPr>
              <w:widowControl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31.642.055</w:t>
            </w:r>
          </w:p>
        </w:tc>
      </w:tr>
      <w:tr w:rsidR="000E21BE" w14:paraId="6C48A21C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005E1A6D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Los Ríos</w:t>
            </w:r>
          </w:p>
        </w:tc>
        <w:tc>
          <w:tcPr>
            <w:tcW w:w="3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5287621" w14:textId="564581D7" w:rsidR="00A937F4" w:rsidRDefault="00A937F4" w:rsidP="00A937F4">
            <w:pPr>
              <w:widowControl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10.508.659</w:t>
            </w:r>
          </w:p>
        </w:tc>
      </w:tr>
      <w:tr w:rsidR="000E21BE" w14:paraId="032032BD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397FF765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Los Lagos</w:t>
            </w:r>
          </w:p>
        </w:tc>
        <w:tc>
          <w:tcPr>
            <w:tcW w:w="3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D42B4D4" w14:textId="4CD46D10" w:rsidR="000E21BE" w:rsidRDefault="00A937F4" w:rsidP="00A937F4">
            <w:pPr>
              <w:widowControl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28.111.772</w:t>
            </w:r>
          </w:p>
        </w:tc>
      </w:tr>
      <w:tr w:rsidR="000E21BE" w14:paraId="1E927E39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05472ABF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Aysén</w:t>
            </w:r>
          </w:p>
        </w:tc>
        <w:tc>
          <w:tcPr>
            <w:tcW w:w="3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63F89B4" w14:textId="1EFE2614" w:rsidR="000E21BE" w:rsidRDefault="00A937F4" w:rsidP="00A937F4">
            <w:pPr>
              <w:widowControl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6.001.999</w:t>
            </w:r>
          </w:p>
        </w:tc>
      </w:tr>
      <w:tr w:rsidR="000E21BE" w14:paraId="7787D9B6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DEF2"/>
            <w:vAlign w:val="center"/>
          </w:tcPr>
          <w:p w14:paraId="75011201" w14:textId="77777777" w:rsidR="000E21BE" w:rsidRDefault="00000000">
            <w:pPr>
              <w:widowControl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Magallanes</w:t>
            </w:r>
          </w:p>
        </w:tc>
        <w:tc>
          <w:tcPr>
            <w:tcW w:w="3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51CA8E3" w14:textId="6C93B126" w:rsidR="000E21BE" w:rsidRDefault="00A937F4" w:rsidP="00A937F4">
            <w:pPr>
              <w:widowControl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4.903.572</w:t>
            </w:r>
          </w:p>
        </w:tc>
      </w:tr>
      <w:tr w:rsidR="000E21BE" w14:paraId="27FCC8CD" w14:textId="77777777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EC2E8"/>
            <w:vAlign w:val="center"/>
          </w:tcPr>
          <w:p w14:paraId="31B825BC" w14:textId="45D33007" w:rsidR="000E21BE" w:rsidRDefault="00000000">
            <w:pPr>
              <w:widowControl/>
              <w:jc w:val="both"/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Total</w:t>
            </w:r>
            <w:proofErr w:type="gramEnd"/>
            <w:r w:rsidR="00D10F0B">
              <w:rPr>
                <w:b/>
                <w:sz w:val="20"/>
                <w:szCs w:val="20"/>
              </w:rPr>
              <w:t xml:space="preserve"> general</w:t>
            </w:r>
          </w:p>
        </w:tc>
        <w:tc>
          <w:tcPr>
            <w:tcW w:w="3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08C78A3" w14:textId="17E4307E" w:rsidR="000E21BE" w:rsidRDefault="00A937F4" w:rsidP="00A937F4">
            <w:pPr>
              <w:widowControl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318.642.198</w:t>
            </w:r>
          </w:p>
        </w:tc>
      </w:tr>
    </w:tbl>
    <w:p w14:paraId="27B0342C" w14:textId="7470D1C4" w:rsidR="000E21BE" w:rsidRDefault="000E21BE">
      <w:pPr>
        <w:pStyle w:val="Ttulo1"/>
        <w:tabs>
          <w:tab w:val="left" w:pos="1014"/>
        </w:tabs>
        <w:spacing w:before="30"/>
        <w:ind w:left="0" w:firstLine="0"/>
        <w:jc w:val="both"/>
        <w:rPr>
          <w:sz w:val="28"/>
          <w:szCs w:val="28"/>
        </w:rPr>
      </w:pPr>
    </w:p>
    <w:p w14:paraId="2DCE36D8" w14:textId="27849F60" w:rsidR="000E21BE" w:rsidRDefault="00D10F0B" w:rsidP="001749A0">
      <w:pPr>
        <w:pStyle w:val="Ttulo2"/>
        <w:ind w:left="0"/>
        <w:jc w:val="both"/>
      </w:pPr>
      <w:r>
        <w:t>Cuadro de Inversión Regional SUBDERE al 3</w:t>
      </w:r>
      <w:r w:rsidR="00331121">
        <w:t>0</w:t>
      </w:r>
      <w:r>
        <w:t>.0</w:t>
      </w:r>
      <w:r w:rsidR="00F6408F">
        <w:t>9</w:t>
      </w:r>
      <w:r>
        <w:t>.2025.</w:t>
      </w:r>
    </w:p>
    <w:p w14:paraId="2AE3ACC1" w14:textId="1ADA5D05" w:rsidR="000E21BE" w:rsidRDefault="000E21BE"/>
    <w:tbl>
      <w:tblPr>
        <w:tblpPr w:leftFromText="141" w:rightFromText="141" w:vertAnchor="text" w:horzAnchor="page" w:tblpX="4848" w:tblpY="-18"/>
        <w:tblW w:w="51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0"/>
        <w:gridCol w:w="3460"/>
      </w:tblGrid>
      <w:tr w:rsidR="001749A0" w:rsidRPr="001749A0" w14:paraId="5CC67B16" w14:textId="77777777" w:rsidTr="001749A0">
        <w:trPr>
          <w:trHeight w:val="315"/>
        </w:trPr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4696" w:fill="004696"/>
            <w:noWrap/>
            <w:vAlign w:val="center"/>
            <w:hideMark/>
          </w:tcPr>
          <w:p w14:paraId="1098F62E" w14:textId="77777777" w:rsidR="001749A0" w:rsidRPr="001749A0" w:rsidRDefault="001749A0" w:rsidP="001749A0">
            <w:pPr>
              <w:widowControl/>
              <w:jc w:val="center"/>
              <w:rPr>
                <w:rFonts w:eastAsia="Times New Roman"/>
                <w:b/>
                <w:bCs/>
                <w:color w:val="FFFFFF"/>
                <w:sz w:val="20"/>
                <w:szCs w:val="20"/>
                <w:lang w:val="es-CL"/>
              </w:rPr>
            </w:pPr>
            <w:r w:rsidRPr="001749A0">
              <w:rPr>
                <w:rFonts w:eastAsia="Times New Roman"/>
                <w:b/>
                <w:bCs/>
                <w:color w:val="FFFFFF"/>
                <w:sz w:val="20"/>
                <w:szCs w:val="20"/>
                <w:lang w:val="es-CL"/>
              </w:rPr>
              <w:t>Región</w:t>
            </w:r>
          </w:p>
        </w:tc>
        <w:tc>
          <w:tcPr>
            <w:tcW w:w="34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4696" w:fill="004696"/>
            <w:noWrap/>
            <w:vAlign w:val="center"/>
            <w:hideMark/>
          </w:tcPr>
          <w:p w14:paraId="57290C37" w14:textId="77777777" w:rsidR="001749A0" w:rsidRPr="001749A0" w:rsidRDefault="001749A0" w:rsidP="001749A0">
            <w:pPr>
              <w:widowControl/>
              <w:jc w:val="center"/>
              <w:rPr>
                <w:rFonts w:eastAsia="Times New Roman"/>
                <w:b/>
                <w:bCs/>
                <w:color w:val="FFFFFF"/>
                <w:sz w:val="20"/>
                <w:szCs w:val="20"/>
                <w:lang w:val="es-CL"/>
              </w:rPr>
            </w:pPr>
            <w:r w:rsidRPr="001749A0">
              <w:rPr>
                <w:rFonts w:eastAsia="Times New Roman"/>
                <w:b/>
                <w:bCs/>
                <w:color w:val="FFFFFF"/>
                <w:sz w:val="20"/>
                <w:szCs w:val="20"/>
                <w:lang w:val="es-CL"/>
              </w:rPr>
              <w:t>Monto Transferido por Región (M$)</w:t>
            </w:r>
          </w:p>
        </w:tc>
      </w:tr>
      <w:tr w:rsidR="001749A0" w:rsidRPr="001749A0" w14:paraId="3E89F25F" w14:textId="77777777" w:rsidTr="001749A0">
        <w:trPr>
          <w:trHeight w:val="315"/>
        </w:trPr>
        <w:tc>
          <w:tcPr>
            <w:tcW w:w="1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3DEF2" w:fill="D3DEF2"/>
            <w:noWrap/>
            <w:vAlign w:val="center"/>
            <w:hideMark/>
          </w:tcPr>
          <w:p w14:paraId="456CE46B" w14:textId="77777777" w:rsidR="001749A0" w:rsidRPr="001749A0" w:rsidRDefault="001749A0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Arica y Parinacota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83A626" w14:textId="21DC70A8" w:rsidR="001749A0" w:rsidRPr="001749A0" w:rsidRDefault="001749A0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1.</w:t>
            </w:r>
            <w:r w:rsidR="00ED5433">
              <w:rPr>
                <w:rFonts w:eastAsia="Times New Roman"/>
                <w:color w:val="000000"/>
                <w:sz w:val="20"/>
                <w:szCs w:val="20"/>
                <w:lang w:val="es-CL"/>
              </w:rPr>
              <w:t>643</w:t>
            </w:r>
            <w:r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.</w:t>
            </w:r>
            <w:r w:rsidR="00ED5433">
              <w:rPr>
                <w:rFonts w:eastAsia="Times New Roman"/>
                <w:color w:val="000000"/>
                <w:sz w:val="20"/>
                <w:szCs w:val="20"/>
                <w:lang w:val="es-CL"/>
              </w:rPr>
              <w:t>221</w:t>
            </w:r>
          </w:p>
        </w:tc>
      </w:tr>
      <w:tr w:rsidR="001749A0" w:rsidRPr="001749A0" w14:paraId="0E8C30A1" w14:textId="77777777" w:rsidTr="001749A0">
        <w:trPr>
          <w:trHeight w:val="315"/>
        </w:trPr>
        <w:tc>
          <w:tcPr>
            <w:tcW w:w="1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3DEF2" w:fill="D3DEF2"/>
            <w:noWrap/>
            <w:vAlign w:val="center"/>
            <w:hideMark/>
          </w:tcPr>
          <w:p w14:paraId="4D23F603" w14:textId="77777777" w:rsidR="001749A0" w:rsidRPr="001749A0" w:rsidRDefault="001749A0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Tarapacá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A1A036" w14:textId="322A8BF9" w:rsidR="001749A0" w:rsidRPr="001749A0" w:rsidRDefault="001749A0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1.</w:t>
            </w:r>
            <w:r w:rsidR="00ED5433">
              <w:rPr>
                <w:rFonts w:eastAsia="Times New Roman"/>
                <w:color w:val="000000"/>
                <w:sz w:val="20"/>
                <w:szCs w:val="20"/>
                <w:lang w:val="es-CL"/>
              </w:rPr>
              <w:t>821</w:t>
            </w:r>
            <w:r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.</w:t>
            </w:r>
            <w:r w:rsidR="00ED5433">
              <w:rPr>
                <w:rFonts w:eastAsia="Times New Roman"/>
                <w:color w:val="000000"/>
                <w:sz w:val="20"/>
                <w:szCs w:val="20"/>
                <w:lang w:val="es-CL"/>
              </w:rPr>
              <w:t>884</w:t>
            </w:r>
          </w:p>
        </w:tc>
      </w:tr>
      <w:tr w:rsidR="001749A0" w:rsidRPr="001749A0" w14:paraId="3644B921" w14:textId="77777777" w:rsidTr="001749A0">
        <w:trPr>
          <w:trHeight w:val="315"/>
        </w:trPr>
        <w:tc>
          <w:tcPr>
            <w:tcW w:w="1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3DEF2" w:fill="D3DEF2"/>
            <w:noWrap/>
            <w:vAlign w:val="center"/>
            <w:hideMark/>
          </w:tcPr>
          <w:p w14:paraId="33325174" w14:textId="77777777" w:rsidR="001749A0" w:rsidRPr="001749A0" w:rsidRDefault="001749A0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Antofagasta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6B9520" w14:textId="7723A018" w:rsidR="001749A0" w:rsidRPr="001749A0" w:rsidRDefault="00ED5433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4.124</w:t>
            </w:r>
            <w:r w:rsidR="001749A0"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194</w:t>
            </w:r>
          </w:p>
        </w:tc>
      </w:tr>
      <w:tr w:rsidR="001749A0" w:rsidRPr="001749A0" w14:paraId="7D974FD4" w14:textId="77777777" w:rsidTr="001749A0">
        <w:trPr>
          <w:trHeight w:val="315"/>
        </w:trPr>
        <w:tc>
          <w:tcPr>
            <w:tcW w:w="1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3DEF2" w:fill="D3DEF2"/>
            <w:noWrap/>
            <w:vAlign w:val="center"/>
            <w:hideMark/>
          </w:tcPr>
          <w:p w14:paraId="057EEBED" w14:textId="77777777" w:rsidR="001749A0" w:rsidRPr="001749A0" w:rsidRDefault="001749A0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Atacama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2D9AC4" w14:textId="0E453B84" w:rsidR="001749A0" w:rsidRPr="001749A0" w:rsidRDefault="00ED5433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3</w:t>
            </w:r>
            <w:r w:rsidR="001749A0"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184.054</w:t>
            </w:r>
          </w:p>
        </w:tc>
      </w:tr>
      <w:tr w:rsidR="001749A0" w:rsidRPr="001749A0" w14:paraId="11C03207" w14:textId="77777777" w:rsidTr="001749A0">
        <w:trPr>
          <w:trHeight w:val="315"/>
        </w:trPr>
        <w:tc>
          <w:tcPr>
            <w:tcW w:w="1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3DEF2" w:fill="D3DEF2"/>
            <w:noWrap/>
            <w:vAlign w:val="center"/>
            <w:hideMark/>
          </w:tcPr>
          <w:p w14:paraId="30DE7752" w14:textId="77777777" w:rsidR="001749A0" w:rsidRPr="001749A0" w:rsidRDefault="001749A0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Coquimbo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944FA4" w14:textId="6953ED40" w:rsidR="001749A0" w:rsidRPr="001749A0" w:rsidRDefault="00ED5433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8</w:t>
            </w:r>
            <w:r w:rsidR="001749A0"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972</w:t>
            </w:r>
            <w:r w:rsidR="001749A0"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988</w:t>
            </w:r>
          </w:p>
        </w:tc>
      </w:tr>
      <w:tr w:rsidR="001749A0" w:rsidRPr="001749A0" w14:paraId="0B801558" w14:textId="77777777" w:rsidTr="001749A0">
        <w:trPr>
          <w:trHeight w:val="315"/>
        </w:trPr>
        <w:tc>
          <w:tcPr>
            <w:tcW w:w="1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3DEF2" w:fill="D3DEF2"/>
            <w:noWrap/>
            <w:vAlign w:val="center"/>
            <w:hideMark/>
          </w:tcPr>
          <w:p w14:paraId="154BFC27" w14:textId="77777777" w:rsidR="001749A0" w:rsidRPr="001749A0" w:rsidRDefault="001749A0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Valparaíso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153432" w14:textId="7D9DDBFA" w:rsidR="001749A0" w:rsidRPr="001749A0" w:rsidRDefault="00ED5433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17</w:t>
            </w:r>
            <w:r w:rsidR="001749A0"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946</w:t>
            </w:r>
            <w:r w:rsidR="001749A0"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310</w:t>
            </w:r>
          </w:p>
        </w:tc>
      </w:tr>
      <w:tr w:rsidR="001749A0" w:rsidRPr="001749A0" w14:paraId="199086FF" w14:textId="77777777" w:rsidTr="001749A0">
        <w:trPr>
          <w:trHeight w:val="315"/>
        </w:trPr>
        <w:tc>
          <w:tcPr>
            <w:tcW w:w="1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3DEF2" w:fill="D3DEF2"/>
            <w:noWrap/>
            <w:vAlign w:val="center"/>
            <w:hideMark/>
          </w:tcPr>
          <w:p w14:paraId="4BBF86C4" w14:textId="77777777" w:rsidR="001749A0" w:rsidRPr="001749A0" w:rsidRDefault="001749A0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Metropolitana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A1F715" w14:textId="3B8AFB56" w:rsidR="001749A0" w:rsidRPr="001749A0" w:rsidRDefault="00ED5433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60</w:t>
            </w:r>
            <w:r w:rsidR="001749A0"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054.351</w:t>
            </w:r>
          </w:p>
        </w:tc>
      </w:tr>
      <w:tr w:rsidR="001749A0" w:rsidRPr="001749A0" w14:paraId="5ECB64A4" w14:textId="77777777" w:rsidTr="001749A0">
        <w:trPr>
          <w:trHeight w:val="315"/>
        </w:trPr>
        <w:tc>
          <w:tcPr>
            <w:tcW w:w="1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3DEF2" w:fill="D3DEF2"/>
            <w:noWrap/>
            <w:vAlign w:val="center"/>
            <w:hideMark/>
          </w:tcPr>
          <w:p w14:paraId="5897981C" w14:textId="77777777" w:rsidR="001749A0" w:rsidRPr="001749A0" w:rsidRDefault="001749A0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O’Higgins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B36235" w14:textId="718E08A4" w:rsidR="001749A0" w:rsidRPr="001749A0" w:rsidRDefault="00ED5433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10</w:t>
            </w:r>
            <w:r w:rsidR="001749A0"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558</w:t>
            </w:r>
            <w:r w:rsidR="001749A0"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416</w:t>
            </w:r>
          </w:p>
        </w:tc>
      </w:tr>
      <w:tr w:rsidR="001749A0" w:rsidRPr="001749A0" w14:paraId="761F13D9" w14:textId="77777777" w:rsidTr="001749A0">
        <w:trPr>
          <w:trHeight w:val="315"/>
        </w:trPr>
        <w:tc>
          <w:tcPr>
            <w:tcW w:w="1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3DEF2" w:fill="D3DEF2"/>
            <w:noWrap/>
            <w:vAlign w:val="center"/>
            <w:hideMark/>
          </w:tcPr>
          <w:p w14:paraId="3BE0DC2B" w14:textId="77777777" w:rsidR="001749A0" w:rsidRPr="001749A0" w:rsidRDefault="001749A0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Maule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6B2960" w14:textId="536BB409" w:rsidR="001749A0" w:rsidRPr="001749A0" w:rsidRDefault="00ED5433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12</w:t>
            </w:r>
            <w:r w:rsidR="001749A0"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358</w:t>
            </w:r>
            <w:r w:rsidR="001749A0"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852</w:t>
            </w:r>
          </w:p>
        </w:tc>
      </w:tr>
      <w:tr w:rsidR="001749A0" w:rsidRPr="001749A0" w14:paraId="72D1C688" w14:textId="77777777" w:rsidTr="001749A0">
        <w:trPr>
          <w:trHeight w:val="315"/>
        </w:trPr>
        <w:tc>
          <w:tcPr>
            <w:tcW w:w="1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3DEF2" w:fill="D3DEF2"/>
            <w:noWrap/>
            <w:vAlign w:val="center"/>
            <w:hideMark/>
          </w:tcPr>
          <w:p w14:paraId="21497314" w14:textId="77777777" w:rsidR="001749A0" w:rsidRPr="001749A0" w:rsidRDefault="001749A0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Ñuble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D09ADD" w14:textId="29B0D306" w:rsidR="001749A0" w:rsidRPr="001749A0" w:rsidRDefault="00ED5433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5</w:t>
            </w:r>
            <w:r w:rsidR="001749A0"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669</w:t>
            </w:r>
            <w:r w:rsidR="001749A0"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816</w:t>
            </w:r>
          </w:p>
        </w:tc>
      </w:tr>
      <w:tr w:rsidR="001749A0" w:rsidRPr="001749A0" w14:paraId="6CF9DDDB" w14:textId="77777777" w:rsidTr="001749A0">
        <w:trPr>
          <w:trHeight w:val="315"/>
        </w:trPr>
        <w:tc>
          <w:tcPr>
            <w:tcW w:w="1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3DEF2" w:fill="D3DEF2"/>
            <w:noWrap/>
            <w:vAlign w:val="center"/>
            <w:hideMark/>
          </w:tcPr>
          <w:p w14:paraId="74BA3CB9" w14:textId="77777777" w:rsidR="001749A0" w:rsidRPr="001749A0" w:rsidRDefault="001749A0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Biobío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B88603" w14:textId="6151EB7C" w:rsidR="001749A0" w:rsidRPr="001749A0" w:rsidRDefault="00ED5433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36</w:t>
            </w:r>
            <w:r w:rsidR="001749A0"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856</w:t>
            </w:r>
            <w:r w:rsidR="001749A0"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331</w:t>
            </w:r>
          </w:p>
        </w:tc>
      </w:tr>
      <w:tr w:rsidR="001749A0" w:rsidRPr="001749A0" w14:paraId="3D9F4351" w14:textId="77777777" w:rsidTr="001749A0">
        <w:trPr>
          <w:trHeight w:val="315"/>
        </w:trPr>
        <w:tc>
          <w:tcPr>
            <w:tcW w:w="1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3DEF2" w:fill="D3DEF2"/>
            <w:noWrap/>
            <w:vAlign w:val="center"/>
            <w:hideMark/>
          </w:tcPr>
          <w:p w14:paraId="48C10050" w14:textId="77777777" w:rsidR="001749A0" w:rsidRPr="001749A0" w:rsidRDefault="001749A0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La Araucanía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35CA51" w14:textId="7B5A6729" w:rsidR="001749A0" w:rsidRPr="001749A0" w:rsidRDefault="00ED5433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13</w:t>
            </w:r>
            <w:r w:rsidR="001749A0"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890</w:t>
            </w:r>
            <w:r w:rsidR="001749A0"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029</w:t>
            </w:r>
          </w:p>
        </w:tc>
      </w:tr>
      <w:tr w:rsidR="001749A0" w:rsidRPr="001749A0" w14:paraId="73925C4B" w14:textId="77777777" w:rsidTr="001749A0">
        <w:trPr>
          <w:trHeight w:val="315"/>
        </w:trPr>
        <w:tc>
          <w:tcPr>
            <w:tcW w:w="1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3DEF2" w:fill="D3DEF2"/>
            <w:noWrap/>
            <w:vAlign w:val="center"/>
            <w:hideMark/>
          </w:tcPr>
          <w:p w14:paraId="21E6559E" w14:textId="77777777" w:rsidR="001749A0" w:rsidRPr="001749A0" w:rsidRDefault="001749A0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Los Ríos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6F440D" w14:textId="76A284F4" w:rsidR="001749A0" w:rsidRPr="001749A0" w:rsidRDefault="00ED5433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6</w:t>
            </w:r>
            <w:r w:rsidR="001749A0"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011</w:t>
            </w:r>
            <w:r w:rsidR="001749A0"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779</w:t>
            </w:r>
          </w:p>
        </w:tc>
      </w:tr>
      <w:tr w:rsidR="001749A0" w:rsidRPr="001749A0" w14:paraId="06E85C05" w14:textId="77777777" w:rsidTr="001749A0">
        <w:trPr>
          <w:trHeight w:val="315"/>
        </w:trPr>
        <w:tc>
          <w:tcPr>
            <w:tcW w:w="1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3DEF2" w:fill="D3DEF2"/>
            <w:noWrap/>
            <w:vAlign w:val="center"/>
            <w:hideMark/>
          </w:tcPr>
          <w:p w14:paraId="50EBA494" w14:textId="77777777" w:rsidR="001749A0" w:rsidRPr="001749A0" w:rsidRDefault="001749A0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Los Lagos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159B00" w14:textId="24D5AA6D" w:rsidR="001749A0" w:rsidRPr="001749A0" w:rsidRDefault="00ED5433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12</w:t>
            </w:r>
            <w:r w:rsidR="001749A0"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747</w:t>
            </w:r>
            <w:r w:rsidR="001749A0"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907</w:t>
            </w:r>
          </w:p>
        </w:tc>
      </w:tr>
      <w:tr w:rsidR="001749A0" w:rsidRPr="001749A0" w14:paraId="3EF9CE12" w14:textId="77777777" w:rsidTr="001749A0">
        <w:trPr>
          <w:trHeight w:val="315"/>
        </w:trPr>
        <w:tc>
          <w:tcPr>
            <w:tcW w:w="1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3DEF2" w:fill="D3DEF2"/>
            <w:noWrap/>
            <w:vAlign w:val="center"/>
            <w:hideMark/>
          </w:tcPr>
          <w:p w14:paraId="1B1ED99A" w14:textId="77777777" w:rsidR="001749A0" w:rsidRPr="001749A0" w:rsidRDefault="001749A0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Aysén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8E9BC0" w14:textId="78BDE30A" w:rsidR="001749A0" w:rsidRPr="001749A0" w:rsidRDefault="00ED5433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2</w:t>
            </w:r>
            <w:r w:rsidR="001749A0"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000.052</w:t>
            </w:r>
          </w:p>
        </w:tc>
      </w:tr>
      <w:tr w:rsidR="001749A0" w:rsidRPr="001749A0" w14:paraId="7689E48C" w14:textId="77777777" w:rsidTr="001749A0">
        <w:trPr>
          <w:trHeight w:val="315"/>
        </w:trPr>
        <w:tc>
          <w:tcPr>
            <w:tcW w:w="1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3DEF2" w:fill="D3DEF2"/>
            <w:noWrap/>
            <w:vAlign w:val="center"/>
            <w:hideMark/>
          </w:tcPr>
          <w:p w14:paraId="106360A8" w14:textId="77777777" w:rsidR="001749A0" w:rsidRPr="001749A0" w:rsidRDefault="001749A0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Magallanes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7FD7E2" w14:textId="25689CDF" w:rsidR="001749A0" w:rsidRPr="001749A0" w:rsidRDefault="00ED5433" w:rsidP="001749A0">
            <w:pPr>
              <w:widowControl/>
              <w:rPr>
                <w:rFonts w:eastAsia="Times New Roman"/>
                <w:color w:val="000000"/>
                <w:sz w:val="20"/>
                <w:szCs w:val="20"/>
                <w:lang w:val="es-CL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1.877</w:t>
            </w:r>
            <w:r w:rsidR="001749A0" w:rsidRPr="001749A0">
              <w:rPr>
                <w:rFonts w:eastAsia="Times New Roman"/>
                <w:color w:val="000000"/>
                <w:sz w:val="20"/>
                <w:szCs w:val="20"/>
                <w:lang w:val="es-CL"/>
              </w:rPr>
              <w:t>.</w:t>
            </w:r>
            <w:r>
              <w:rPr>
                <w:rFonts w:eastAsia="Times New Roman"/>
                <w:color w:val="000000"/>
                <w:sz w:val="20"/>
                <w:szCs w:val="20"/>
                <w:lang w:val="es-CL"/>
              </w:rPr>
              <w:t>306</w:t>
            </w:r>
          </w:p>
        </w:tc>
      </w:tr>
      <w:tr w:rsidR="001749A0" w:rsidRPr="001749A0" w14:paraId="035E21D5" w14:textId="77777777" w:rsidTr="001749A0">
        <w:trPr>
          <w:trHeight w:val="315"/>
        </w:trPr>
        <w:tc>
          <w:tcPr>
            <w:tcW w:w="1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B0C3E7" w:fill="B0C3E7"/>
            <w:noWrap/>
            <w:vAlign w:val="center"/>
            <w:hideMark/>
          </w:tcPr>
          <w:p w14:paraId="2311BAD5" w14:textId="77777777" w:rsidR="001749A0" w:rsidRPr="001749A0" w:rsidRDefault="001749A0" w:rsidP="001749A0">
            <w:pPr>
              <w:widowControl/>
              <w:jc w:val="center"/>
              <w:rPr>
                <w:rFonts w:eastAsia="Times New Roman"/>
                <w:b/>
                <w:bCs/>
                <w:color w:val="FFFFFF"/>
                <w:sz w:val="20"/>
                <w:szCs w:val="20"/>
                <w:lang w:val="es-CL"/>
              </w:rPr>
            </w:pPr>
            <w:proofErr w:type="gramStart"/>
            <w:r w:rsidRPr="001749A0">
              <w:rPr>
                <w:rFonts w:eastAsia="Times New Roman"/>
                <w:b/>
                <w:bCs/>
                <w:sz w:val="20"/>
                <w:szCs w:val="20"/>
                <w:lang w:val="es-CL"/>
              </w:rPr>
              <w:t>Total</w:t>
            </w:r>
            <w:proofErr w:type="gramEnd"/>
            <w:r w:rsidRPr="001749A0">
              <w:rPr>
                <w:rFonts w:eastAsia="Times New Roman"/>
                <w:b/>
                <w:bCs/>
                <w:sz w:val="20"/>
                <w:szCs w:val="20"/>
                <w:lang w:val="es-CL"/>
              </w:rPr>
              <w:t xml:space="preserve"> general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noWrap/>
            <w:vAlign w:val="center"/>
            <w:hideMark/>
          </w:tcPr>
          <w:p w14:paraId="7A394D79" w14:textId="5A976877" w:rsidR="001749A0" w:rsidRPr="001749A0" w:rsidRDefault="001749A0" w:rsidP="001749A0">
            <w:pPr>
              <w:widowControl/>
              <w:rPr>
                <w:rFonts w:eastAsia="Times New Roman"/>
                <w:b/>
                <w:bCs/>
                <w:color w:val="000000"/>
                <w:sz w:val="20"/>
                <w:szCs w:val="20"/>
                <w:lang w:val="es-CL"/>
              </w:rPr>
            </w:pPr>
            <w:r w:rsidRPr="001749A0">
              <w:rPr>
                <w:rFonts w:eastAsia="Times New Roman"/>
                <w:b/>
                <w:bCs/>
                <w:color w:val="000000"/>
                <w:sz w:val="20"/>
                <w:szCs w:val="20"/>
                <w:lang w:val="es-CL"/>
              </w:rPr>
              <w:t>1</w:t>
            </w:r>
            <w:r w:rsidR="00ED5433">
              <w:rPr>
                <w:rFonts w:eastAsia="Times New Roman"/>
                <w:b/>
                <w:bCs/>
                <w:color w:val="000000"/>
                <w:sz w:val="20"/>
                <w:szCs w:val="20"/>
                <w:lang w:val="es-CL"/>
              </w:rPr>
              <w:t>90</w:t>
            </w:r>
            <w:r w:rsidRPr="001749A0">
              <w:rPr>
                <w:rFonts w:eastAsia="Times New Roman"/>
                <w:b/>
                <w:bCs/>
                <w:color w:val="000000"/>
                <w:sz w:val="20"/>
                <w:szCs w:val="20"/>
                <w:lang w:val="es-CL"/>
              </w:rPr>
              <w:t>.</w:t>
            </w:r>
            <w:r w:rsidR="00ED5433">
              <w:rPr>
                <w:rFonts w:eastAsia="Times New Roman"/>
                <w:b/>
                <w:bCs/>
                <w:color w:val="000000"/>
                <w:sz w:val="20"/>
                <w:szCs w:val="20"/>
                <w:lang w:val="es-CL"/>
              </w:rPr>
              <w:t>717</w:t>
            </w:r>
            <w:r w:rsidRPr="001749A0">
              <w:rPr>
                <w:rFonts w:eastAsia="Times New Roman"/>
                <w:b/>
                <w:bCs/>
                <w:color w:val="000000"/>
                <w:sz w:val="20"/>
                <w:szCs w:val="20"/>
                <w:lang w:val="es-CL"/>
              </w:rPr>
              <w:t>.</w:t>
            </w:r>
            <w:r w:rsidR="00ED5433">
              <w:rPr>
                <w:rFonts w:eastAsia="Times New Roman"/>
                <w:b/>
                <w:bCs/>
                <w:color w:val="000000"/>
                <w:sz w:val="20"/>
                <w:szCs w:val="20"/>
                <w:lang w:val="es-CL"/>
              </w:rPr>
              <w:t>490</w:t>
            </w:r>
          </w:p>
        </w:tc>
      </w:tr>
    </w:tbl>
    <w:p w14:paraId="2D369FAD" w14:textId="24137D4F" w:rsidR="001749A0" w:rsidRDefault="001749A0" w:rsidP="001749A0">
      <w:pPr>
        <w:tabs>
          <w:tab w:val="left" w:pos="3769"/>
        </w:tabs>
      </w:pPr>
      <w:r>
        <w:tab/>
      </w:r>
    </w:p>
    <w:p w14:paraId="7B6734D6" w14:textId="27060691" w:rsidR="000E21BE" w:rsidRDefault="000E21BE" w:rsidP="001749A0">
      <w:pPr>
        <w:tabs>
          <w:tab w:val="left" w:pos="3769"/>
        </w:tabs>
      </w:pPr>
    </w:p>
    <w:p w14:paraId="4162F5F2" w14:textId="268E58B7" w:rsidR="000E21BE" w:rsidRDefault="000E21BE"/>
    <w:p w14:paraId="0C8216AA" w14:textId="6634BFF8" w:rsidR="000E21BE" w:rsidRDefault="000E21BE"/>
    <w:p w14:paraId="75AC31C0" w14:textId="4BDD3BC5" w:rsidR="000E21BE" w:rsidRDefault="00000000">
      <w:pPr>
        <w:tabs>
          <w:tab w:val="left" w:pos="6301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</w:p>
    <w:p w14:paraId="0AFA5162" w14:textId="0B865CA0" w:rsidR="00D10F0B" w:rsidRDefault="00D10F0B" w:rsidP="00E3071B">
      <w:pPr>
        <w:spacing w:before="40"/>
        <w:textDirection w:val="btLr"/>
        <w:rPr>
          <w:color w:val="00224A"/>
          <w:sz w:val="18"/>
        </w:rPr>
      </w:pPr>
    </w:p>
    <w:p w14:paraId="60339F20" w14:textId="23780CA1" w:rsidR="00D10F0B" w:rsidRDefault="00D10F0B" w:rsidP="00E3071B">
      <w:pPr>
        <w:spacing w:before="40"/>
        <w:textDirection w:val="btLr"/>
        <w:rPr>
          <w:color w:val="00224A"/>
          <w:sz w:val="18"/>
        </w:rPr>
      </w:pPr>
    </w:p>
    <w:p w14:paraId="57B94ED4" w14:textId="2D0DA37E" w:rsidR="00D10F0B" w:rsidRDefault="00D10F0B" w:rsidP="00E3071B">
      <w:pPr>
        <w:spacing w:before="40"/>
        <w:textDirection w:val="btLr"/>
        <w:rPr>
          <w:color w:val="00224A"/>
          <w:sz w:val="18"/>
        </w:rPr>
      </w:pPr>
    </w:p>
    <w:p w14:paraId="7CEAF035" w14:textId="327381A5" w:rsidR="00D10F0B" w:rsidRDefault="00D10F0B" w:rsidP="00E3071B">
      <w:pPr>
        <w:spacing w:before="40"/>
        <w:textDirection w:val="btLr"/>
        <w:rPr>
          <w:color w:val="00224A"/>
          <w:sz w:val="18"/>
        </w:rPr>
      </w:pPr>
    </w:p>
    <w:p w14:paraId="2462E00C" w14:textId="7F1B84B0" w:rsidR="00D10F0B" w:rsidRDefault="00D10F0B" w:rsidP="00E3071B">
      <w:pPr>
        <w:spacing w:before="40"/>
        <w:textDirection w:val="btLr"/>
        <w:rPr>
          <w:color w:val="00224A"/>
          <w:sz w:val="18"/>
        </w:rPr>
      </w:pPr>
    </w:p>
    <w:p w14:paraId="4A0766FD" w14:textId="3523BB57" w:rsidR="00D10F0B" w:rsidRDefault="00D10F0B" w:rsidP="00E3071B">
      <w:pPr>
        <w:spacing w:before="40"/>
        <w:textDirection w:val="btLr"/>
        <w:rPr>
          <w:color w:val="00224A"/>
          <w:sz w:val="18"/>
        </w:rPr>
      </w:pPr>
    </w:p>
    <w:p w14:paraId="34FFFA70" w14:textId="16AF3494" w:rsidR="00D10F0B" w:rsidRDefault="00D10F0B" w:rsidP="00E3071B">
      <w:pPr>
        <w:spacing w:before="40"/>
        <w:textDirection w:val="btLr"/>
        <w:rPr>
          <w:color w:val="00224A"/>
          <w:sz w:val="18"/>
        </w:rPr>
      </w:pPr>
    </w:p>
    <w:p w14:paraId="7AA64364" w14:textId="462F5804" w:rsidR="00D10F0B" w:rsidRDefault="0009619F">
      <w:pPr>
        <w:rPr>
          <w:color w:val="00224A"/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8480" behindDoc="1" locked="0" layoutInCell="1" hidden="0" allowOverlap="1" wp14:anchorId="5B596054" wp14:editId="2D98EDA6">
                <wp:simplePos x="0" y="0"/>
                <wp:positionH relativeFrom="column">
                  <wp:posOffset>477079</wp:posOffset>
                </wp:positionH>
                <wp:positionV relativeFrom="paragraph">
                  <wp:posOffset>327771</wp:posOffset>
                </wp:positionV>
                <wp:extent cx="1477645" cy="1744345"/>
                <wp:effectExtent l="0" t="0" r="0" b="0"/>
                <wp:wrapNone/>
                <wp:docPr id="557274048" name="Rectángulo 5572740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7645" cy="17443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BF52A4C" w14:textId="77777777" w:rsidR="00D10F0B" w:rsidRDefault="00D10F0B" w:rsidP="00D10F0B">
                            <w:pPr>
                              <w:spacing w:before="40"/>
                              <w:jc w:val="right"/>
                              <w:textDirection w:val="btLr"/>
                            </w:pPr>
                            <w:r>
                              <w:rPr>
                                <w:color w:val="00224A"/>
                                <w:sz w:val="18"/>
                              </w:rPr>
                              <w:t>Nota: La Inversión regional SUBDERE del año incluye todas las fuentes de financiamiento destinadas al apoyo de proyectos de los programas de SUBDERE, destacando principalmente los programas PMU, PMB, FRC, PRBIPE Y PTRAC.</w:t>
                            </w:r>
                          </w:p>
                          <w:p w14:paraId="67649CD1" w14:textId="77777777" w:rsidR="00D10F0B" w:rsidRDefault="00D10F0B" w:rsidP="00D10F0B">
                            <w:pPr>
                              <w:jc w:val="right"/>
                              <w:textDirection w:val="btLr"/>
                            </w:pPr>
                          </w:p>
                          <w:p w14:paraId="19E0FDC2" w14:textId="77777777" w:rsidR="00D10F0B" w:rsidRDefault="00D10F0B" w:rsidP="00D10F0B">
                            <w:pPr>
                              <w:jc w:val="right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B596054" id="Rectángulo 557274048" o:spid="_x0000_s1032" style="position:absolute;margin-left:37.55pt;margin-top:25.8pt;width:116.35pt;height:137.35pt;z-index:-25164800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" stroked="f">
                <v:textbox inset="2.53958mm,1.2694mm,2.53958mm,1.2694mm">
                  <w:txbxContent>
                    <w:p w14:paraId="5BF52A4C" w14:textId="77777777" w:rsidR="00D10F0B" w:rsidRDefault="00D10F0B" w:rsidP="00D10F0B">
                      <w:pPr>
                        <w:spacing w:before="40"/>
                        <w:jc w:val="right"/>
                        <w:textDirection w:val="btLr"/>
                      </w:pPr>
                      <w:r>
                        <w:rPr>
                          <w:color w:val="00224A"/>
                          <w:sz w:val="18"/>
                        </w:rPr>
                        <w:t>Nota: La Inversión regional SUBDERE del año incluye todas las fuentes de financiamiento destinadas al apoyo de proyectos de los programas de SUBDERE, destacando principalmente los programas PMU, PMB, FRC, PRBIPE Y PTRAC.</w:t>
                      </w:r>
                    </w:p>
                    <w:p w14:paraId="67649CD1" w14:textId="77777777" w:rsidR="00D10F0B" w:rsidRDefault="00D10F0B" w:rsidP="00D10F0B">
                      <w:pPr>
                        <w:jc w:val="right"/>
                        <w:textDirection w:val="btLr"/>
                      </w:pPr>
                    </w:p>
                    <w:p w14:paraId="19E0FDC2" w14:textId="77777777" w:rsidR="00D10F0B" w:rsidRDefault="00D10F0B" w:rsidP="00D10F0B">
                      <w:pPr>
                        <w:jc w:val="right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  <w:r w:rsidR="00D10F0B">
        <w:rPr>
          <w:color w:val="00224A"/>
          <w:sz w:val="18"/>
        </w:rPr>
        <w:br w:type="page"/>
      </w:r>
    </w:p>
    <w:p w14:paraId="32EB6FCE" w14:textId="77777777" w:rsidR="000E21BE" w:rsidRDefault="00000000" w:rsidP="0009619F">
      <w:pPr>
        <w:pStyle w:val="Ttulo1"/>
        <w:numPr>
          <w:ilvl w:val="0"/>
          <w:numId w:val="2"/>
        </w:numPr>
        <w:tabs>
          <w:tab w:val="left" w:pos="1021"/>
        </w:tabs>
        <w:spacing w:line="425" w:lineRule="auto"/>
        <w:ind w:left="0"/>
        <w:jc w:val="both"/>
      </w:pPr>
      <w:r>
        <w:lastRenderedPageBreak/>
        <w:t>Gestión de Personas:</w:t>
      </w:r>
    </w:p>
    <w:p w14:paraId="0D2D07C8" w14:textId="77777777" w:rsidR="000E21BE" w:rsidRDefault="00000000">
      <w:pPr>
        <w:pBdr>
          <w:top w:val="nil"/>
          <w:left w:val="nil"/>
          <w:bottom w:val="nil"/>
          <w:right w:val="nil"/>
          <w:between w:val="nil"/>
        </w:pBdr>
        <w:spacing w:before="191" w:line="264" w:lineRule="auto"/>
        <w:jc w:val="both"/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 xml:space="preserve">A continuación, la </w:t>
      </w:r>
      <w:proofErr w:type="spellStart"/>
      <w:r>
        <w:rPr>
          <w:color w:val="000000"/>
          <w:sz w:val="21"/>
          <w:szCs w:val="21"/>
        </w:rPr>
        <w:t>Subdere</w:t>
      </w:r>
      <w:proofErr w:type="spellEnd"/>
      <w:r>
        <w:rPr>
          <w:color w:val="000000"/>
          <w:sz w:val="21"/>
          <w:szCs w:val="21"/>
        </w:rPr>
        <w:t xml:space="preserve"> pone a disposición la información de su personal, ilustrando distribuciones de total de funcionarios por género; estamento y género y calidad jurídica y género.</w:t>
      </w:r>
    </w:p>
    <w:p w14:paraId="1390443F" w14:textId="19A09562" w:rsidR="000E21BE" w:rsidRDefault="00F6408F" w:rsidP="00F6408F">
      <w:pPr>
        <w:pBdr>
          <w:top w:val="nil"/>
          <w:left w:val="nil"/>
          <w:bottom w:val="nil"/>
          <w:right w:val="nil"/>
          <w:between w:val="nil"/>
        </w:pBdr>
        <w:spacing w:before="191" w:line="264" w:lineRule="auto"/>
        <w:ind w:hanging="284"/>
        <w:jc w:val="center"/>
        <w:rPr>
          <w:color w:val="000000"/>
          <w:sz w:val="21"/>
          <w:szCs w:val="21"/>
        </w:rPr>
      </w:pPr>
      <w:r>
        <w:rPr>
          <w:noProof/>
        </w:rPr>
        <w:drawing>
          <wp:inline distT="0" distB="0" distL="0" distR="0" wp14:anchorId="408F7E9C" wp14:editId="677A1009">
            <wp:extent cx="5685183" cy="2486025"/>
            <wp:effectExtent l="0" t="0" r="10795" b="9525"/>
            <wp:docPr id="1940782258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300-00006F69450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2096EE65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spacing w:before="191" w:line="264" w:lineRule="auto"/>
        <w:jc w:val="center"/>
        <w:rPr>
          <w:color w:val="000000"/>
          <w:sz w:val="21"/>
          <w:szCs w:val="21"/>
        </w:rPr>
      </w:pPr>
    </w:p>
    <w:p w14:paraId="5944536F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spacing w:before="191" w:line="264" w:lineRule="auto"/>
        <w:jc w:val="center"/>
        <w:rPr>
          <w:color w:val="000000"/>
          <w:sz w:val="21"/>
          <w:szCs w:val="21"/>
        </w:rPr>
      </w:pPr>
    </w:p>
    <w:p w14:paraId="2D41B2C0" w14:textId="77777777" w:rsidR="000E21BE" w:rsidRDefault="000E21BE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</w:p>
    <w:p w14:paraId="4C733908" w14:textId="3CFD6330" w:rsidR="000E21BE" w:rsidRDefault="00F6408F" w:rsidP="00F6408F">
      <w:pPr>
        <w:ind w:hanging="284"/>
        <w:jc w:val="center"/>
      </w:pPr>
      <w:r>
        <w:rPr>
          <w:noProof/>
        </w:rPr>
        <w:drawing>
          <wp:inline distT="0" distB="0" distL="0" distR="0" wp14:anchorId="5FD301AD" wp14:editId="738520DF">
            <wp:extent cx="5653874" cy="2752725"/>
            <wp:effectExtent l="0" t="0" r="4445" b="9525"/>
            <wp:docPr id="103185478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300-0000B7EB3F7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7B5FB41B" w14:textId="77777777" w:rsidR="000E21BE" w:rsidRDefault="000E21BE"/>
    <w:p w14:paraId="218D6599" w14:textId="77777777" w:rsidR="000E21BE" w:rsidRDefault="000E21BE"/>
    <w:p w14:paraId="487F66BD" w14:textId="77777777" w:rsidR="000E21BE" w:rsidRDefault="000E21BE"/>
    <w:p w14:paraId="5A95376D" w14:textId="77777777" w:rsidR="000E21BE" w:rsidRDefault="000E21BE"/>
    <w:p w14:paraId="297C377A" w14:textId="77777777" w:rsidR="000E21BE" w:rsidRDefault="000E21BE"/>
    <w:p w14:paraId="1D6905DC" w14:textId="77777777" w:rsidR="000E21BE" w:rsidRDefault="000E21BE"/>
    <w:p w14:paraId="611287C9" w14:textId="77777777" w:rsidR="000E21BE" w:rsidRDefault="000E21BE"/>
    <w:p w14:paraId="1EF01312" w14:textId="77777777" w:rsidR="000E21BE" w:rsidRDefault="000E21BE"/>
    <w:p w14:paraId="7B186656" w14:textId="77777777" w:rsidR="000E21BE" w:rsidRDefault="000E21BE"/>
    <w:p w14:paraId="721AF869" w14:textId="77777777" w:rsidR="000E21BE" w:rsidRDefault="000E21BE"/>
    <w:p w14:paraId="0FB8C810" w14:textId="77777777" w:rsidR="000E21BE" w:rsidRDefault="000E21BE"/>
    <w:p w14:paraId="3EDFC14A" w14:textId="75F8412D" w:rsidR="000E21BE" w:rsidRDefault="004A175F" w:rsidP="004A175F">
      <w:pPr>
        <w:ind w:left="720" w:hanging="1146"/>
        <w:jc w:val="center"/>
      </w:pPr>
      <w:r>
        <w:rPr>
          <w:noProof/>
        </w:rPr>
        <w:drawing>
          <wp:inline distT="0" distB="0" distL="0" distR="0" wp14:anchorId="4FE94645" wp14:editId="4339A6B3">
            <wp:extent cx="5295900" cy="2695575"/>
            <wp:effectExtent l="0" t="0" r="0" b="9525"/>
            <wp:docPr id="1056333707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300-0000CA732C5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sectPr w:rsidR="000E21BE">
      <w:pgSz w:w="12242" w:h="15842"/>
      <w:pgMar w:top="1418" w:right="1701" w:bottom="1418" w:left="1701" w:header="1134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8E867B" w14:textId="77777777" w:rsidR="00FF0489" w:rsidRDefault="00FF0489">
      <w:r>
        <w:separator/>
      </w:r>
    </w:p>
  </w:endnote>
  <w:endnote w:type="continuationSeparator" w:id="0">
    <w:p w14:paraId="57127D41" w14:textId="77777777" w:rsidR="00FF0489" w:rsidRDefault="00FF04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charset w:val="00"/>
    <w:family w:val="auto"/>
    <w:pitch w:val="default"/>
    <w:embedRegular r:id="rId1" w:fontKey="{BC564538-9859-486C-AF75-C93BCB548F1E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4E61B8EC-AE66-482F-A2EC-0416FE9747C9}"/>
    <w:embedBold r:id="rId3" w:fontKey="{AB752638-4733-4227-A8B1-4CF0AAA7D8E9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B3B32091-BB9E-4912-A059-CEB2B15D1EF9}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5" w:fontKey="{7AAA9FFA-6FA5-47A5-B7F8-19CA7B55ACB0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6" w:fontKey="{E378C00C-E0F4-41FB-9DEB-5E1D83B73739}"/>
    <w:embedItalic r:id="rId7" w:fontKey="{20338BD2-FB2A-43C6-892F-4942665C1004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EA99D9" w14:textId="77777777" w:rsidR="000E21BE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  <w:r>
      <w:rPr>
        <w:noProof/>
      </w:rPr>
      <w:drawing>
        <wp:anchor distT="0" distB="0" distL="0" distR="0" simplePos="0" relativeHeight="251661312" behindDoc="1" locked="0" layoutInCell="1" hidden="0" allowOverlap="1" wp14:anchorId="51F0B47D" wp14:editId="1A490B9C">
          <wp:simplePos x="0" y="0"/>
          <wp:positionH relativeFrom="column">
            <wp:posOffset>17584</wp:posOffset>
          </wp:positionH>
          <wp:positionV relativeFrom="paragraph">
            <wp:posOffset>250532</wp:posOffset>
          </wp:positionV>
          <wp:extent cx="1694180" cy="127000"/>
          <wp:effectExtent l="0" t="0" r="0" b="0"/>
          <wp:wrapNone/>
          <wp:docPr id="1322569068" name="image4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94180" cy="127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62336" behindDoc="1" locked="0" layoutInCell="1" hidden="0" allowOverlap="1" wp14:anchorId="7F4F1E3C" wp14:editId="1947D757">
          <wp:simplePos x="0" y="0"/>
          <wp:positionH relativeFrom="column">
            <wp:posOffset>0</wp:posOffset>
          </wp:positionH>
          <wp:positionV relativeFrom="paragraph">
            <wp:posOffset>250825</wp:posOffset>
          </wp:positionV>
          <wp:extent cx="1694180" cy="127000"/>
          <wp:effectExtent l="0" t="0" r="0" b="0"/>
          <wp:wrapNone/>
          <wp:docPr id="1322569070" name="image4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94180" cy="127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21CE58" w14:textId="77777777" w:rsidR="00FF0489" w:rsidRDefault="00FF0489">
      <w:r>
        <w:separator/>
      </w:r>
    </w:p>
  </w:footnote>
  <w:footnote w:type="continuationSeparator" w:id="0">
    <w:p w14:paraId="42EB61A1" w14:textId="77777777" w:rsidR="00FF0489" w:rsidRDefault="00FF04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6C993F" w14:textId="77777777" w:rsidR="000E21BE" w:rsidRDefault="00000000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  <w:r>
      <w:rPr>
        <w:noProof/>
      </w:rPr>
      <w:drawing>
        <wp:anchor distT="0" distB="0" distL="0" distR="0" simplePos="0" relativeHeight="251658240" behindDoc="1" locked="0" layoutInCell="1" hidden="0" allowOverlap="1" wp14:anchorId="472E4AAA" wp14:editId="55F340C3">
          <wp:simplePos x="0" y="0"/>
          <wp:positionH relativeFrom="column">
            <wp:posOffset>0</wp:posOffset>
          </wp:positionH>
          <wp:positionV relativeFrom="paragraph">
            <wp:posOffset>-711736</wp:posOffset>
          </wp:positionV>
          <wp:extent cx="1694657" cy="127000"/>
          <wp:effectExtent l="0" t="0" r="0" b="0"/>
          <wp:wrapNone/>
          <wp:docPr id="1322569073" name="image4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94657" cy="127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59264" behindDoc="1" locked="0" layoutInCell="1" hidden="0" allowOverlap="1" wp14:anchorId="70084CFB" wp14:editId="097E38B7">
          <wp:simplePos x="0" y="0"/>
          <wp:positionH relativeFrom="column">
            <wp:posOffset>-634</wp:posOffset>
          </wp:positionH>
          <wp:positionV relativeFrom="paragraph">
            <wp:posOffset>-531494</wp:posOffset>
          </wp:positionV>
          <wp:extent cx="1702435" cy="473075"/>
          <wp:effectExtent l="0" t="0" r="0" b="0"/>
          <wp:wrapNone/>
          <wp:docPr id="1322569069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02435" cy="4730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60288" behindDoc="1" locked="0" layoutInCell="1" hidden="0" allowOverlap="1" wp14:anchorId="4A527DF3" wp14:editId="59B6B954">
          <wp:simplePos x="0" y="0"/>
          <wp:positionH relativeFrom="column">
            <wp:posOffset>0</wp:posOffset>
          </wp:positionH>
          <wp:positionV relativeFrom="paragraph">
            <wp:posOffset>-891930</wp:posOffset>
          </wp:positionV>
          <wp:extent cx="1694657" cy="127000"/>
          <wp:effectExtent l="0" t="0" r="0" b="0"/>
          <wp:wrapNone/>
          <wp:docPr id="1322569067" name="image4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94657" cy="127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253FD071" w14:textId="77777777" w:rsidR="000E21BE" w:rsidRDefault="000E21BE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</w:p>
  <w:p w14:paraId="1C2C4EA1" w14:textId="77777777" w:rsidR="000E21BE" w:rsidRDefault="000E21BE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</w:p>
  <w:p w14:paraId="6AD12637" w14:textId="77777777" w:rsidR="000E21BE" w:rsidRDefault="000E21BE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</w:p>
  <w:p w14:paraId="74B400DE" w14:textId="77777777" w:rsidR="000E21BE" w:rsidRDefault="000E21BE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</w:p>
  <w:p w14:paraId="38922C46" w14:textId="77777777" w:rsidR="000E21BE" w:rsidRDefault="000E21BE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</w:p>
  <w:p w14:paraId="5AB95B5C" w14:textId="77777777" w:rsidR="000E21BE" w:rsidRDefault="000E21BE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</w:p>
  <w:p w14:paraId="13F2C1C6" w14:textId="77777777" w:rsidR="000E21BE" w:rsidRDefault="000E21BE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20907"/>
    <w:multiLevelType w:val="multilevel"/>
    <w:tmpl w:val="369683DE"/>
    <w:lvl w:ilvl="0">
      <w:start w:val="1"/>
      <w:numFmt w:val="decimal"/>
      <w:lvlText w:val="%1."/>
      <w:lvlJc w:val="left"/>
      <w:pPr>
        <w:ind w:left="2336" w:hanging="351"/>
      </w:pPr>
      <w:rPr>
        <w:b/>
        <w:sz w:val="28"/>
        <w:szCs w:val="28"/>
      </w:rPr>
    </w:lvl>
    <w:lvl w:ilvl="1">
      <w:numFmt w:val="bullet"/>
      <w:lvlText w:val="•"/>
      <w:lvlJc w:val="left"/>
      <w:pPr>
        <w:ind w:left="3273" w:hanging="351"/>
      </w:pPr>
    </w:lvl>
    <w:lvl w:ilvl="2">
      <w:numFmt w:val="bullet"/>
      <w:lvlText w:val="•"/>
      <w:lvlJc w:val="left"/>
      <w:pPr>
        <w:ind w:left="4210" w:hanging="351"/>
      </w:pPr>
    </w:lvl>
    <w:lvl w:ilvl="3">
      <w:numFmt w:val="bullet"/>
      <w:lvlText w:val="•"/>
      <w:lvlJc w:val="left"/>
      <w:pPr>
        <w:ind w:left="5146" w:hanging="351"/>
      </w:pPr>
    </w:lvl>
    <w:lvl w:ilvl="4">
      <w:numFmt w:val="bullet"/>
      <w:lvlText w:val="•"/>
      <w:lvlJc w:val="left"/>
      <w:pPr>
        <w:ind w:left="6083" w:hanging="351"/>
      </w:pPr>
    </w:lvl>
    <w:lvl w:ilvl="5">
      <w:numFmt w:val="bullet"/>
      <w:lvlText w:val="•"/>
      <w:lvlJc w:val="left"/>
      <w:pPr>
        <w:ind w:left="7020" w:hanging="351"/>
      </w:pPr>
    </w:lvl>
    <w:lvl w:ilvl="6">
      <w:numFmt w:val="bullet"/>
      <w:lvlText w:val="•"/>
      <w:lvlJc w:val="left"/>
      <w:pPr>
        <w:ind w:left="7956" w:hanging="351"/>
      </w:pPr>
    </w:lvl>
    <w:lvl w:ilvl="7">
      <w:numFmt w:val="bullet"/>
      <w:lvlText w:val="•"/>
      <w:lvlJc w:val="left"/>
      <w:pPr>
        <w:ind w:left="8893" w:hanging="351"/>
      </w:pPr>
    </w:lvl>
    <w:lvl w:ilvl="8">
      <w:numFmt w:val="bullet"/>
      <w:lvlText w:val="•"/>
      <w:lvlJc w:val="left"/>
      <w:pPr>
        <w:ind w:left="9830" w:hanging="351"/>
      </w:pPr>
    </w:lvl>
  </w:abstractNum>
  <w:abstractNum w:abstractNumId="1" w15:restartNumberingAfterBreak="0">
    <w:nsid w:val="11F770C3"/>
    <w:multiLevelType w:val="multilevel"/>
    <w:tmpl w:val="5B02B180"/>
    <w:lvl w:ilvl="0">
      <w:start w:val="1"/>
      <w:numFmt w:val="bullet"/>
      <w:lvlText w:val="●"/>
      <w:lvlJc w:val="left"/>
      <w:pPr>
        <w:ind w:left="1774" w:hanging="276"/>
      </w:pPr>
      <w:rPr>
        <w:rFonts w:ascii="Noto Sans Symbols" w:eastAsia="Noto Sans Symbols" w:hAnsi="Noto Sans Symbols" w:cs="Noto Sans Symbols"/>
        <w:sz w:val="19"/>
        <w:szCs w:val="19"/>
      </w:rPr>
    </w:lvl>
    <w:lvl w:ilvl="1">
      <w:numFmt w:val="bullet"/>
      <w:lvlText w:val="•"/>
      <w:lvlJc w:val="left"/>
      <w:pPr>
        <w:ind w:left="2758" w:hanging="276"/>
      </w:pPr>
    </w:lvl>
    <w:lvl w:ilvl="2">
      <w:numFmt w:val="bullet"/>
      <w:lvlText w:val="•"/>
      <w:lvlJc w:val="left"/>
      <w:pPr>
        <w:ind w:left="3737" w:hanging="276"/>
      </w:pPr>
    </w:lvl>
    <w:lvl w:ilvl="3">
      <w:numFmt w:val="bullet"/>
      <w:lvlText w:val="•"/>
      <w:lvlJc w:val="left"/>
      <w:pPr>
        <w:ind w:left="4715" w:hanging="276"/>
      </w:pPr>
    </w:lvl>
    <w:lvl w:ilvl="4">
      <w:numFmt w:val="bullet"/>
      <w:lvlText w:val="•"/>
      <w:lvlJc w:val="left"/>
      <w:pPr>
        <w:ind w:left="5694" w:hanging="276"/>
      </w:pPr>
    </w:lvl>
    <w:lvl w:ilvl="5">
      <w:numFmt w:val="bullet"/>
      <w:lvlText w:val="•"/>
      <w:lvlJc w:val="left"/>
      <w:pPr>
        <w:ind w:left="6673" w:hanging="276"/>
      </w:pPr>
    </w:lvl>
    <w:lvl w:ilvl="6">
      <w:numFmt w:val="bullet"/>
      <w:lvlText w:val="•"/>
      <w:lvlJc w:val="left"/>
      <w:pPr>
        <w:ind w:left="7651" w:hanging="276"/>
      </w:pPr>
    </w:lvl>
    <w:lvl w:ilvl="7">
      <w:numFmt w:val="bullet"/>
      <w:lvlText w:val="•"/>
      <w:lvlJc w:val="left"/>
      <w:pPr>
        <w:ind w:left="8630" w:hanging="276"/>
      </w:pPr>
    </w:lvl>
    <w:lvl w:ilvl="8">
      <w:numFmt w:val="bullet"/>
      <w:lvlText w:val="•"/>
      <w:lvlJc w:val="left"/>
      <w:pPr>
        <w:ind w:left="9609" w:hanging="276"/>
      </w:pPr>
    </w:lvl>
  </w:abstractNum>
  <w:abstractNum w:abstractNumId="2" w15:restartNumberingAfterBreak="0">
    <w:nsid w:val="174B5A4C"/>
    <w:multiLevelType w:val="multilevel"/>
    <w:tmpl w:val="CA48C060"/>
    <w:lvl w:ilvl="0">
      <w:start w:val="1"/>
      <w:numFmt w:val="lowerLetter"/>
      <w:lvlText w:val="%1)"/>
      <w:lvlJc w:val="left"/>
      <w:pPr>
        <w:ind w:left="720" w:hanging="360"/>
      </w:pPr>
      <w:rPr>
        <w:sz w:val="21"/>
        <w:szCs w:val="21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5D23D0"/>
    <w:multiLevelType w:val="multilevel"/>
    <w:tmpl w:val="55BA3A44"/>
    <w:lvl w:ilvl="0">
      <w:start w:val="2"/>
      <w:numFmt w:val="decimal"/>
      <w:lvlText w:val="%1."/>
      <w:lvlJc w:val="left"/>
      <w:pPr>
        <w:ind w:left="1053" w:hanging="344"/>
      </w:pPr>
      <w:rPr>
        <w:rFonts w:ascii="Calibri" w:eastAsia="Calibri" w:hAnsi="Calibri" w:cs="Calibri"/>
        <w:b/>
        <w:sz w:val="28"/>
        <w:szCs w:val="28"/>
      </w:rPr>
    </w:lvl>
    <w:lvl w:ilvl="1">
      <w:numFmt w:val="bullet"/>
      <w:lvlText w:val="●"/>
      <w:lvlJc w:val="left"/>
      <w:pPr>
        <w:ind w:left="2199" w:hanging="351"/>
      </w:pPr>
      <w:rPr>
        <w:rFonts w:ascii="Times New Roman" w:eastAsia="Times New Roman" w:hAnsi="Times New Roman" w:cs="Times New Roman"/>
        <w:sz w:val="21"/>
        <w:szCs w:val="21"/>
      </w:rPr>
    </w:lvl>
    <w:lvl w:ilvl="2">
      <w:numFmt w:val="bullet"/>
      <w:lvlText w:val="•"/>
      <w:lvlJc w:val="left"/>
      <w:pPr>
        <w:ind w:left="3240" w:hanging="351"/>
      </w:pPr>
    </w:lvl>
    <w:lvl w:ilvl="3">
      <w:numFmt w:val="bullet"/>
      <w:lvlText w:val="•"/>
      <w:lvlJc w:val="left"/>
      <w:pPr>
        <w:ind w:left="4281" w:hanging="351"/>
      </w:pPr>
    </w:lvl>
    <w:lvl w:ilvl="4">
      <w:numFmt w:val="bullet"/>
      <w:lvlText w:val="•"/>
      <w:lvlJc w:val="left"/>
      <w:pPr>
        <w:ind w:left="5322" w:hanging="351"/>
      </w:pPr>
    </w:lvl>
    <w:lvl w:ilvl="5">
      <w:numFmt w:val="bullet"/>
      <w:lvlText w:val="•"/>
      <w:lvlJc w:val="left"/>
      <w:pPr>
        <w:ind w:left="6362" w:hanging="351"/>
      </w:pPr>
    </w:lvl>
    <w:lvl w:ilvl="6">
      <w:numFmt w:val="bullet"/>
      <w:lvlText w:val="•"/>
      <w:lvlJc w:val="left"/>
      <w:pPr>
        <w:ind w:left="7403" w:hanging="351"/>
      </w:pPr>
    </w:lvl>
    <w:lvl w:ilvl="7">
      <w:numFmt w:val="bullet"/>
      <w:lvlText w:val="•"/>
      <w:lvlJc w:val="left"/>
      <w:pPr>
        <w:ind w:left="8444" w:hanging="351"/>
      </w:pPr>
    </w:lvl>
    <w:lvl w:ilvl="8">
      <w:numFmt w:val="bullet"/>
      <w:lvlText w:val="•"/>
      <w:lvlJc w:val="left"/>
      <w:pPr>
        <w:ind w:left="9484" w:hanging="351"/>
      </w:pPr>
    </w:lvl>
  </w:abstractNum>
  <w:abstractNum w:abstractNumId="4" w15:restartNumberingAfterBreak="0">
    <w:nsid w:val="2B53587D"/>
    <w:multiLevelType w:val="multilevel"/>
    <w:tmpl w:val="0114CC5E"/>
    <w:lvl w:ilvl="0">
      <w:start w:val="1"/>
      <w:numFmt w:val="bullet"/>
      <w:lvlText w:val="●"/>
      <w:lvlJc w:val="left"/>
      <w:pPr>
        <w:ind w:left="369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089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9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9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9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9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9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9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9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79E1738C"/>
    <w:multiLevelType w:val="multilevel"/>
    <w:tmpl w:val="1C0EAF3C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num w:numId="1" w16cid:durableId="58983809">
    <w:abstractNumId w:val="3"/>
  </w:num>
  <w:num w:numId="2" w16cid:durableId="102506188">
    <w:abstractNumId w:val="0"/>
  </w:num>
  <w:num w:numId="3" w16cid:durableId="189801981">
    <w:abstractNumId w:val="1"/>
  </w:num>
  <w:num w:numId="4" w16cid:durableId="906693165">
    <w:abstractNumId w:val="4"/>
  </w:num>
  <w:num w:numId="5" w16cid:durableId="1560019216">
    <w:abstractNumId w:val="5"/>
  </w:num>
  <w:num w:numId="6" w16cid:durableId="192946060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21BE"/>
    <w:rsid w:val="0009619F"/>
    <w:rsid w:val="000E21BE"/>
    <w:rsid w:val="001725A9"/>
    <w:rsid w:val="001749A0"/>
    <w:rsid w:val="00225D70"/>
    <w:rsid w:val="00260012"/>
    <w:rsid w:val="00265286"/>
    <w:rsid w:val="002C0CE1"/>
    <w:rsid w:val="002E24BA"/>
    <w:rsid w:val="00323BF4"/>
    <w:rsid w:val="00331121"/>
    <w:rsid w:val="00395E48"/>
    <w:rsid w:val="003A71BC"/>
    <w:rsid w:val="003D023C"/>
    <w:rsid w:val="003E26D5"/>
    <w:rsid w:val="004304A6"/>
    <w:rsid w:val="00431D15"/>
    <w:rsid w:val="00452012"/>
    <w:rsid w:val="00452386"/>
    <w:rsid w:val="00474044"/>
    <w:rsid w:val="0047712F"/>
    <w:rsid w:val="004A175F"/>
    <w:rsid w:val="004F14B8"/>
    <w:rsid w:val="0054358C"/>
    <w:rsid w:val="005F3674"/>
    <w:rsid w:val="00686376"/>
    <w:rsid w:val="006E4772"/>
    <w:rsid w:val="006F6769"/>
    <w:rsid w:val="00755C30"/>
    <w:rsid w:val="007C6E36"/>
    <w:rsid w:val="008C026B"/>
    <w:rsid w:val="009034E5"/>
    <w:rsid w:val="00906301"/>
    <w:rsid w:val="00924C74"/>
    <w:rsid w:val="0095250A"/>
    <w:rsid w:val="009972CA"/>
    <w:rsid w:val="009D12D9"/>
    <w:rsid w:val="00A62DE1"/>
    <w:rsid w:val="00A937F4"/>
    <w:rsid w:val="00AA093B"/>
    <w:rsid w:val="00AE5FEC"/>
    <w:rsid w:val="00B1019D"/>
    <w:rsid w:val="00B5365B"/>
    <w:rsid w:val="00B953D9"/>
    <w:rsid w:val="00BE2AB6"/>
    <w:rsid w:val="00BF5B90"/>
    <w:rsid w:val="00CE40E4"/>
    <w:rsid w:val="00D10F0B"/>
    <w:rsid w:val="00DF08C6"/>
    <w:rsid w:val="00E3071B"/>
    <w:rsid w:val="00E51FB9"/>
    <w:rsid w:val="00E60DEA"/>
    <w:rsid w:val="00E62F07"/>
    <w:rsid w:val="00E972BB"/>
    <w:rsid w:val="00EA3648"/>
    <w:rsid w:val="00EA5C09"/>
    <w:rsid w:val="00EC5A67"/>
    <w:rsid w:val="00ED5433"/>
    <w:rsid w:val="00F24F38"/>
    <w:rsid w:val="00F61A71"/>
    <w:rsid w:val="00F6408F"/>
    <w:rsid w:val="00FA3A4A"/>
    <w:rsid w:val="00FC3021"/>
    <w:rsid w:val="00FF0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E46B20"/>
  <w15:docId w15:val="{CA8D39D2-A168-46FC-9864-52BD3F6D91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s-ES" w:eastAsia="es-CL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uiPriority w:val="9"/>
    <w:qFormat/>
    <w:pPr>
      <w:ind w:left="2199" w:hanging="352"/>
      <w:outlineLvl w:val="0"/>
    </w:pPr>
    <w:rPr>
      <w:b/>
      <w:bCs/>
      <w:sz w:val="35"/>
      <w:szCs w:val="35"/>
    </w:rPr>
  </w:style>
  <w:style w:type="paragraph" w:styleId="Ttulo2">
    <w:name w:val="heading 2"/>
    <w:basedOn w:val="Normal"/>
    <w:uiPriority w:val="9"/>
    <w:unhideWhenUsed/>
    <w:qFormat/>
    <w:pPr>
      <w:ind w:left="1498"/>
      <w:outlineLvl w:val="1"/>
    </w:pPr>
    <w:rPr>
      <w:b/>
      <w:bCs/>
      <w:sz w:val="27"/>
      <w:szCs w:val="27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6303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00224A" w:themeColor="accent1" w:themeShade="7F"/>
      <w:sz w:val="24"/>
      <w:szCs w:val="24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uiPriority w:val="10"/>
    <w:qFormat/>
    <w:pPr>
      <w:spacing w:before="171"/>
      <w:ind w:left="5403" w:right="3800" w:hanging="1548"/>
    </w:pPr>
    <w:rPr>
      <w:b/>
      <w:bCs/>
      <w:sz w:val="39"/>
      <w:szCs w:val="39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1"/>
      <w:szCs w:val="21"/>
    </w:rPr>
  </w:style>
  <w:style w:type="paragraph" w:styleId="Prrafodelista">
    <w:name w:val="List Paragraph"/>
    <w:basedOn w:val="Normal"/>
    <w:uiPriority w:val="1"/>
    <w:qFormat/>
    <w:pPr>
      <w:ind w:left="2199" w:hanging="351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tulo3Car">
    <w:name w:val="Título 3 Car"/>
    <w:basedOn w:val="Fuentedeprrafopredeter"/>
    <w:link w:val="Ttulo3"/>
    <w:uiPriority w:val="9"/>
    <w:rsid w:val="00B6303D"/>
    <w:rPr>
      <w:rFonts w:asciiTheme="majorHAnsi" w:eastAsiaTheme="majorEastAsia" w:hAnsiTheme="majorHAnsi" w:cstheme="majorBidi"/>
      <w:color w:val="00224A" w:themeColor="accent1" w:themeShade="7F"/>
      <w:sz w:val="24"/>
      <w:szCs w:val="24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5060D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060D6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5060D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060D6"/>
    <w:rPr>
      <w:rFonts w:ascii="Calibri" w:eastAsia="Calibri" w:hAnsi="Calibri" w:cs="Calibri"/>
      <w:lang w:val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EB6AC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EB6AC6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EB6AC6"/>
    <w:rPr>
      <w:rFonts w:ascii="Calibri" w:eastAsia="Calibri" w:hAnsi="Calibri" w:cs="Calibri"/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B6AC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EB6AC6"/>
    <w:rPr>
      <w:rFonts w:ascii="Calibri" w:eastAsia="Calibri" w:hAnsi="Calibri" w:cs="Calibri"/>
      <w:b/>
      <w:bCs/>
      <w:sz w:val="20"/>
      <w:szCs w:val="20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B6AC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B6AC6"/>
    <w:rPr>
      <w:rFonts w:ascii="Segoe UI" w:eastAsia="Calibri" w:hAnsi="Segoe UI" w:cs="Segoe UI"/>
      <w:sz w:val="18"/>
      <w:szCs w:val="18"/>
      <w:lang w:val="es-ES"/>
    </w:rPr>
  </w:style>
  <w:style w:type="paragraph" w:styleId="NormalWeb">
    <w:name w:val="Normal (Web)"/>
    <w:basedOn w:val="Normal"/>
    <w:uiPriority w:val="99"/>
    <w:semiHidden/>
    <w:unhideWhenUsed/>
    <w:rsid w:val="003F2E95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CL"/>
    </w:rPr>
  </w:style>
  <w:style w:type="paragraph" w:styleId="z-Principiodelformulario">
    <w:name w:val="HTML Top of Form"/>
    <w:basedOn w:val="Normal"/>
    <w:next w:val="Normal"/>
    <w:link w:val="z-PrincipiodelformularioCar"/>
    <w:hidden/>
    <w:uiPriority w:val="99"/>
    <w:semiHidden/>
    <w:unhideWhenUsed/>
    <w:rsid w:val="003F2E95"/>
    <w:pPr>
      <w:widowControl/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val="es-CL"/>
    </w:rPr>
  </w:style>
  <w:style w:type="character" w:customStyle="1" w:styleId="z-PrincipiodelformularioCar">
    <w:name w:val="z-Principio del formulario Car"/>
    <w:basedOn w:val="Fuentedeprrafopredeter"/>
    <w:link w:val="z-Principiodelformulario"/>
    <w:uiPriority w:val="99"/>
    <w:semiHidden/>
    <w:rsid w:val="003F2E95"/>
    <w:rPr>
      <w:rFonts w:ascii="Arial" w:eastAsia="Times New Roman" w:hAnsi="Arial" w:cs="Arial"/>
      <w:vanish/>
      <w:sz w:val="16"/>
      <w:szCs w:val="16"/>
      <w:lang w:val="es-CL" w:eastAsia="es-CL"/>
    </w:rPr>
  </w:style>
  <w:style w:type="paragraph" w:styleId="z-Finaldelformulario">
    <w:name w:val="HTML Bottom of Form"/>
    <w:basedOn w:val="Normal"/>
    <w:next w:val="Normal"/>
    <w:link w:val="z-FinaldelformularioCar"/>
    <w:hidden/>
    <w:uiPriority w:val="99"/>
    <w:semiHidden/>
    <w:unhideWhenUsed/>
    <w:rsid w:val="003F2E95"/>
    <w:pPr>
      <w:widowControl/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val="es-CL"/>
    </w:rPr>
  </w:style>
  <w:style w:type="character" w:customStyle="1" w:styleId="z-FinaldelformularioCar">
    <w:name w:val="z-Final del formulario Car"/>
    <w:basedOn w:val="Fuentedeprrafopredeter"/>
    <w:link w:val="z-Finaldelformulario"/>
    <w:uiPriority w:val="99"/>
    <w:semiHidden/>
    <w:rsid w:val="003F2E95"/>
    <w:rPr>
      <w:rFonts w:ascii="Arial" w:eastAsia="Times New Roman" w:hAnsi="Arial" w:cs="Arial"/>
      <w:vanish/>
      <w:sz w:val="16"/>
      <w:szCs w:val="16"/>
      <w:lang w:val="es-CL" w:eastAsia="es-CL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823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4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1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8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76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97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0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1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7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hart" Target="charts/chart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chart" Target="charts/chart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chart" Target="charts/chart3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chart" Target="charts/chart2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jcancino\Downloads\GR&#193;FICOS%20WORD%20(4)%20(1)%20(1)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jcancino\Downloads\GR&#193;FICOS%20WORD%20(4)%20(1)%20(1)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jcancino\Downloads\GR&#193;FICOS%20WORD%20(4)%20(1)%20(1)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jcancino\Downloads\GR&#193;FICOS%20WORD%20(4)%20(1)%20(1)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1"/>
        <c:ser>
          <c:idx val="0"/>
          <c:order val="0"/>
          <c:tx>
            <c:v>Presupuesto Inicial</c:v>
          </c:tx>
          <c:spPr>
            <a:solidFill>
              <a:srgbClr val="004696"/>
            </a:solidFill>
            <a:ln cmpd="sng">
              <a:solidFill>
                <a:srgbClr val="000000"/>
              </a:solidFill>
            </a:ln>
          </c:spPr>
          <c:invertIfNegative val="1"/>
          <c:dLbls>
            <c:delete val="1"/>
          </c:dLbls>
          <c:cat>
            <c:numRef>
              <c:f>Hoja1!$E$27:$I$27</c:f>
              <c:numCache>
                <c:formatCode>General</c:formatCode>
                <c:ptCount val="5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  <c:pt idx="3">
                  <c:v>2024</c:v>
                </c:pt>
                <c:pt idx="4">
                  <c:v>2025</c:v>
                </c:pt>
              </c:numCache>
            </c:numRef>
          </c:cat>
          <c:val>
            <c:numRef>
              <c:f>Hoja1!$E$28:$I$28</c:f>
              <c:numCache>
                <c:formatCode>#,##0</c:formatCode>
                <c:ptCount val="5"/>
                <c:pt idx="0">
                  <c:v>699733127</c:v>
                </c:pt>
                <c:pt idx="1">
                  <c:v>623065906</c:v>
                </c:pt>
                <c:pt idx="2">
                  <c:v>431131510</c:v>
                </c:pt>
                <c:pt idx="3">
                  <c:v>633374794</c:v>
                </c:pt>
                <c:pt idx="4">
                  <c:v>431345319</c:v>
                </c:pt>
              </c:numCache>
            </c:numRef>
          </c:val>
          <c:extLst>
            <c:ext xmlns:c14="http://schemas.microsoft.com/office/drawing/2007/8/2/chart" uri="{6F2FDCE9-48DA-4B69-8628-5D25D57E5C99}">
              <c14:invertSolidFillFmt>
                <c14:spPr xmlns:c14="http://schemas.microsoft.com/office/drawing/2007/8/2/chart">
                  <a:solidFill>
                    <a:srgbClr val="FFFFFF"/>
                  </a:solidFill>
                  <a:ln cmpd="sng">
                    <a:solidFill>
                      <a:srgbClr val="000000"/>
                    </a:solidFill>
                  </a:ln>
                </c14:spPr>
              </c14:invertSolidFillFmt>
            </c:ext>
            <c:ext xmlns:c16="http://schemas.microsoft.com/office/drawing/2014/chart" uri="{C3380CC4-5D6E-409C-BE32-E72D297353CC}">
              <c16:uniqueId val="{00000000-311A-47C1-9100-B884890E405D}"/>
            </c:ext>
          </c:extLst>
        </c:ser>
        <c:ser>
          <c:idx val="1"/>
          <c:order val="1"/>
          <c:tx>
            <c:v>Presupuesto Vigente</c:v>
          </c:tx>
          <c:spPr>
            <a:solidFill>
              <a:srgbClr val="E94860"/>
            </a:solidFill>
            <a:ln cmpd="sng">
              <a:solidFill>
                <a:srgbClr val="000000"/>
              </a:solidFill>
            </a:ln>
          </c:spPr>
          <c:invertIfNegative val="1"/>
          <c:dLbls>
            <c:delete val="1"/>
          </c:dLbls>
          <c:cat>
            <c:numRef>
              <c:f>Hoja1!$E$27:$I$27</c:f>
              <c:numCache>
                <c:formatCode>General</c:formatCode>
                <c:ptCount val="5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  <c:pt idx="3">
                  <c:v>2024</c:v>
                </c:pt>
                <c:pt idx="4">
                  <c:v>2025</c:v>
                </c:pt>
              </c:numCache>
            </c:numRef>
          </c:cat>
          <c:val>
            <c:numRef>
              <c:f>Hoja1!$E$29:$I$29</c:f>
              <c:numCache>
                <c:formatCode>#,##0</c:formatCode>
                <c:ptCount val="5"/>
                <c:pt idx="0">
                  <c:v>608828519</c:v>
                </c:pt>
                <c:pt idx="1">
                  <c:v>677459421</c:v>
                </c:pt>
                <c:pt idx="2">
                  <c:v>450858590</c:v>
                </c:pt>
                <c:pt idx="3">
                  <c:v>403372352</c:v>
                </c:pt>
                <c:pt idx="4">
                  <c:v>447043583</c:v>
                </c:pt>
              </c:numCache>
            </c:numRef>
          </c:val>
          <c:extLst>
            <c:ext xmlns:c14="http://schemas.microsoft.com/office/drawing/2007/8/2/chart" uri="{6F2FDCE9-48DA-4B69-8628-5D25D57E5C99}">
              <c14:invertSolidFillFmt>
                <c14:spPr xmlns:c14="http://schemas.microsoft.com/office/drawing/2007/8/2/chart">
                  <a:solidFill>
                    <a:srgbClr val="FFFFFF"/>
                  </a:solidFill>
                  <a:ln cmpd="sng">
                    <a:solidFill>
                      <a:srgbClr val="000000"/>
                    </a:solidFill>
                  </a:ln>
                </c14:spPr>
              </c14:invertSolidFillFmt>
            </c:ext>
            <c:ext xmlns:c16="http://schemas.microsoft.com/office/drawing/2014/chart" uri="{C3380CC4-5D6E-409C-BE32-E72D297353CC}">
              <c16:uniqueId val="{00000001-311A-47C1-9100-B884890E405D}"/>
            </c:ext>
          </c:extLst>
        </c:ser>
        <c:ser>
          <c:idx val="2"/>
          <c:order val="2"/>
          <c:tx>
            <c:v>Presupuesto Ejecutado</c:v>
          </c:tx>
          <c:spPr>
            <a:solidFill>
              <a:srgbClr val="D3DEF2"/>
            </a:solidFill>
            <a:ln cmpd="sng">
              <a:solidFill>
                <a:srgbClr val="000000"/>
              </a:solidFill>
            </a:ln>
          </c:spPr>
          <c:invertIfNegative val="1"/>
          <c:dLbls>
            <c:delete val="1"/>
          </c:dLbls>
          <c:cat>
            <c:numRef>
              <c:f>Hoja1!$E$27:$I$27</c:f>
              <c:numCache>
                <c:formatCode>General</c:formatCode>
                <c:ptCount val="5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  <c:pt idx="3">
                  <c:v>2024</c:v>
                </c:pt>
                <c:pt idx="4">
                  <c:v>2025</c:v>
                </c:pt>
              </c:numCache>
            </c:numRef>
          </c:cat>
          <c:val>
            <c:numRef>
              <c:f>Hoja1!$E$30:$I$30</c:f>
              <c:numCache>
                <c:formatCode>#,##0</c:formatCode>
                <c:ptCount val="5"/>
                <c:pt idx="0">
                  <c:v>563544737</c:v>
                </c:pt>
                <c:pt idx="1">
                  <c:v>674885719</c:v>
                </c:pt>
                <c:pt idx="2">
                  <c:v>443421624</c:v>
                </c:pt>
                <c:pt idx="3">
                  <c:v>402180156</c:v>
                </c:pt>
                <c:pt idx="4">
                  <c:v>284000347</c:v>
                </c:pt>
              </c:numCache>
            </c:numRef>
          </c:val>
          <c:extLst>
            <c:ext xmlns:c14="http://schemas.microsoft.com/office/drawing/2007/8/2/chart" uri="{6F2FDCE9-48DA-4B69-8628-5D25D57E5C99}">
              <c14:invertSolidFillFmt>
                <c14:spPr xmlns:c14="http://schemas.microsoft.com/office/drawing/2007/8/2/chart">
                  <a:solidFill>
                    <a:srgbClr val="FFFFFF"/>
                  </a:solidFill>
                  <a:ln cmpd="sng">
                    <a:solidFill>
                      <a:srgbClr val="000000"/>
                    </a:solidFill>
                  </a:ln>
                </c14:spPr>
              </c14:invertSolidFillFmt>
            </c:ext>
            <c:ext xmlns:c16="http://schemas.microsoft.com/office/drawing/2014/chart" uri="{C3380CC4-5D6E-409C-BE32-E72D297353CC}">
              <c16:uniqueId val="{00000002-311A-47C1-9100-B884890E405D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axId val="1146338124"/>
        <c:axId val="1711377423"/>
      </c:barChart>
      <c:lineChart>
        <c:grouping val="standard"/>
        <c:varyColors val="0"/>
        <c:ser>
          <c:idx val="3"/>
          <c:order val="3"/>
          <c:tx>
            <c:v>% de Ejecución</c:v>
          </c:tx>
          <c:spPr>
            <a:ln w="28575" cmpd="sng">
              <a:solidFill>
                <a:schemeClr val="accent4"/>
              </a:solidFill>
            </a:ln>
          </c:spPr>
          <c:marker>
            <c:symbol val="none"/>
          </c:marker>
          <c:dLbls>
            <c:dLbl>
              <c:idx val="0"/>
              <c:layout>
                <c:manualLayout>
                  <c:x val="7.0175438596490908E-3"/>
                  <c:y val="-8.211143695014662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311A-47C1-9100-B884890E405D}"/>
                </c:ext>
              </c:extLst>
            </c:dLbl>
            <c:dLbl>
              <c:idx val="1"/>
              <c:layout>
                <c:manualLayout>
                  <c:x val="8.771929824561403E-3"/>
                  <c:y val="-7.038123167155425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311A-47C1-9100-B884890E405D}"/>
                </c:ext>
              </c:extLst>
            </c:dLbl>
            <c:dLbl>
              <c:idx val="2"/>
              <c:layout>
                <c:manualLayout>
                  <c:x val="8.7719298245613388E-3"/>
                  <c:y val="-7.429130009775171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311A-47C1-9100-B884890E405D}"/>
                </c:ext>
              </c:extLst>
            </c:dLbl>
            <c:dLbl>
              <c:idx val="3"/>
              <c:layout>
                <c:manualLayout>
                  <c:x val="5.263157894736842E-3"/>
                  <c:y val="-6.256109481915933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311A-47C1-9100-B884890E405D}"/>
                </c:ext>
              </c:extLst>
            </c:dLbl>
            <c:dLbl>
              <c:idx val="4"/>
              <c:layout>
                <c:manualLayout>
                  <c:x val="7.0175438596489946E-3"/>
                  <c:y val="-5.474095796676456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311A-47C1-9100-B884890E405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800"/>
                </a:pPr>
                <a:endParaRPr lang="es-CL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numRef>
              <c:f>Hoja1!$E$27:$I$27</c:f>
              <c:numCache>
                <c:formatCode>General</c:formatCode>
                <c:ptCount val="5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  <c:pt idx="3">
                  <c:v>2024</c:v>
                </c:pt>
                <c:pt idx="4">
                  <c:v>2025</c:v>
                </c:pt>
              </c:numCache>
            </c:numRef>
          </c:cat>
          <c:val>
            <c:numRef>
              <c:f>Hoja1!$E$31:$I$31</c:f>
              <c:numCache>
                <c:formatCode>0.0%</c:formatCode>
                <c:ptCount val="5"/>
                <c:pt idx="0">
                  <c:v>0.92562145072576663</c:v>
                </c:pt>
                <c:pt idx="1">
                  <c:v>0.99620095031492673</c:v>
                </c:pt>
                <c:pt idx="2">
                  <c:v>0.98350488120898394</c:v>
                </c:pt>
                <c:pt idx="3">
                  <c:v>0.99704442807225424</c:v>
                </c:pt>
                <c:pt idx="4">
                  <c:v>0.63528559138270868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8-311A-47C1-9100-B884890E405D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marker val="1"/>
        <c:smooth val="0"/>
        <c:axId val="1146338124"/>
        <c:axId val="1711377423"/>
      </c:lineChart>
      <c:catAx>
        <c:axId val="1146338124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 lvl="0">
                  <a:defRPr b="0">
                    <a:solidFill>
                      <a:srgbClr val="000000"/>
                    </a:solidFill>
                    <a:latin typeface="+mn-lt"/>
                  </a:defRPr>
                </a:pPr>
                <a:endParaRPr lang="es-CL"/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txPr>
          <a:bodyPr/>
          <a:lstStyle/>
          <a:p>
            <a:pPr lvl="0">
              <a:defRPr sz="800" b="0" i="0">
                <a:solidFill>
                  <a:srgbClr val="000000"/>
                </a:solidFill>
                <a:latin typeface="Calibri Light"/>
              </a:defRPr>
            </a:pPr>
            <a:endParaRPr lang="es-CL"/>
          </a:p>
        </c:txPr>
        <c:crossAx val="1711377423"/>
        <c:crosses val="autoZero"/>
        <c:auto val="1"/>
        <c:lblAlgn val="ctr"/>
        <c:lblOffset val="100"/>
        <c:noMultiLvlLbl val="1"/>
      </c:catAx>
      <c:valAx>
        <c:axId val="1711377423"/>
        <c:scaling>
          <c:orientation val="minMax"/>
        </c:scaling>
        <c:delete val="0"/>
        <c:axPos val="l"/>
        <c:majorGridlines>
          <c:spPr>
            <a:ln>
              <a:solidFill>
                <a:srgbClr val="B7B7B7"/>
              </a:solidFill>
            </a:ln>
          </c:spPr>
        </c:majorGridlines>
        <c:title>
          <c:tx>
            <c:rich>
              <a:bodyPr/>
              <a:lstStyle/>
              <a:p>
                <a:pPr lvl="0">
                  <a:defRPr b="0">
                    <a:solidFill>
                      <a:srgbClr val="000000"/>
                    </a:solidFill>
                    <a:latin typeface="+mn-lt"/>
                  </a:defRPr>
                </a:pPr>
                <a:endParaRPr lang="es-CL"/>
              </a:p>
            </c:rich>
          </c:tx>
          <c:overlay val="0"/>
        </c:title>
        <c:numFmt formatCode="#,##0" sourceLinked="1"/>
        <c:majorTickMark val="none"/>
        <c:minorTickMark val="none"/>
        <c:tickLblPos val="nextTo"/>
        <c:spPr>
          <a:ln/>
        </c:spPr>
        <c:txPr>
          <a:bodyPr/>
          <a:lstStyle/>
          <a:p>
            <a:pPr lvl="0">
              <a:defRPr sz="800" b="0" i="0">
                <a:solidFill>
                  <a:srgbClr val="000000"/>
                </a:solidFill>
                <a:latin typeface="Calibri Light"/>
              </a:defRPr>
            </a:pPr>
            <a:endParaRPr lang="es-CL"/>
          </a:p>
        </c:txPr>
        <c:crossAx val="1146338124"/>
        <c:crosses val="autoZero"/>
        <c:crossBetween val="between"/>
      </c:valAx>
    </c:plotArea>
    <c:legend>
      <c:legendPos val="b"/>
      <c:legendEntry>
        <c:idx val="3"/>
        <c:delete val="1"/>
      </c:legendEntry>
      <c:overlay val="0"/>
    </c:legend>
    <c:plotVisOnly val="1"/>
    <c:dispBlanksAs val="zero"/>
    <c:showDLblsOverMax val="1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 lvl="0">
              <a:defRPr sz="1200" b="0" i="0">
                <a:solidFill>
                  <a:srgbClr val="757575"/>
                </a:solidFill>
                <a:latin typeface="+mn-lt"/>
              </a:defRPr>
            </a:pPr>
            <a:r>
              <a:rPr lang="es-CL" sz="1200" b="0" i="0">
                <a:solidFill>
                  <a:srgbClr val="757575"/>
                </a:solidFill>
                <a:latin typeface="+mn-lt"/>
              </a:rPr>
              <a:t>Distribución total de funcionarios por género</a:t>
            </a:r>
          </a:p>
        </c:rich>
      </c:tx>
      <c:overlay val="0"/>
    </c:title>
    <c:autoTitleDeleted val="0"/>
    <c:plotArea>
      <c:layout>
        <c:manualLayout>
          <c:xMode val="edge"/>
          <c:yMode val="edge"/>
          <c:x val="9.0358705161854749E-2"/>
          <c:y val="0.16041666666666665"/>
          <c:w val="0.88186351706036759"/>
          <c:h val="0.71053186060075824"/>
        </c:manualLayout>
      </c:layout>
      <c:barChart>
        <c:barDir val="col"/>
        <c:grouping val="clustered"/>
        <c:varyColors val="1"/>
        <c:ser>
          <c:idx val="0"/>
          <c:order val="0"/>
          <c:tx>
            <c:v>Mujeres</c:v>
          </c:tx>
          <c:spPr>
            <a:solidFill>
              <a:srgbClr val="004696"/>
            </a:solidFill>
            <a:ln cmpd="sng">
              <a:solidFill>
                <a:srgbClr val="000000"/>
              </a:solidFill>
            </a:ln>
          </c:spPr>
          <c:invertIfNegative val="1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 lvl="0">
                  <a:defRPr sz="900" b="0" i="0">
                    <a:latin typeface="+mn-lt"/>
                  </a:defRPr>
                </a:pPr>
                <a:endParaRPr lang="es-CL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Hoja4!$B$6</c:f>
              <c:strCache>
                <c:ptCount val="1"/>
                <c:pt idx="0">
                  <c:v>TOTAL</c:v>
                </c:pt>
              </c:strCache>
            </c:strRef>
          </c:cat>
          <c:val>
            <c:numRef>
              <c:f>Hoja4!$C$6</c:f>
              <c:numCache>
                <c:formatCode>General</c:formatCode>
                <c:ptCount val="1"/>
                <c:pt idx="0">
                  <c:v>268</c:v>
                </c:pt>
              </c:numCache>
            </c:numRef>
          </c:val>
          <c:extLst>
            <c:ext xmlns:c14="http://schemas.microsoft.com/office/drawing/2007/8/2/chart" uri="{6F2FDCE9-48DA-4B69-8628-5D25D57E5C99}">
              <c14:invertSolidFillFmt>
                <c14:spPr xmlns:c14="http://schemas.microsoft.com/office/drawing/2007/8/2/chart">
                  <a:solidFill>
                    <a:srgbClr val="FFFFFF"/>
                  </a:solidFill>
                  <a:ln cmpd="sng">
                    <a:solidFill>
                      <a:srgbClr val="000000"/>
                    </a:solidFill>
                  </a:ln>
                </c14:spPr>
              </c14:invertSolidFillFmt>
            </c:ext>
            <c:ext xmlns:c16="http://schemas.microsoft.com/office/drawing/2014/chart" uri="{C3380CC4-5D6E-409C-BE32-E72D297353CC}">
              <c16:uniqueId val="{00000000-ACAA-47BE-A997-5F25446BD302}"/>
            </c:ext>
          </c:extLst>
        </c:ser>
        <c:ser>
          <c:idx val="1"/>
          <c:order val="1"/>
          <c:tx>
            <c:v>Hombres</c:v>
          </c:tx>
          <c:spPr>
            <a:solidFill>
              <a:srgbClr val="E94860"/>
            </a:solidFill>
            <a:ln cmpd="sng">
              <a:solidFill>
                <a:srgbClr val="000000"/>
              </a:solidFill>
            </a:ln>
          </c:spPr>
          <c:invertIfNegative val="1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 lvl="0">
                  <a:defRPr sz="900" b="0" i="0">
                    <a:latin typeface="+mn-lt"/>
                  </a:defRPr>
                </a:pPr>
                <a:endParaRPr lang="es-CL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Hoja4!$B$6</c:f>
              <c:strCache>
                <c:ptCount val="1"/>
                <c:pt idx="0">
                  <c:v>TOTAL</c:v>
                </c:pt>
              </c:strCache>
            </c:strRef>
          </c:cat>
          <c:val>
            <c:numRef>
              <c:f>Hoja4!$D$6</c:f>
              <c:numCache>
                <c:formatCode>General</c:formatCode>
                <c:ptCount val="1"/>
                <c:pt idx="0">
                  <c:v>257</c:v>
                </c:pt>
              </c:numCache>
            </c:numRef>
          </c:val>
          <c:extLst>
            <c:ext xmlns:c14="http://schemas.microsoft.com/office/drawing/2007/8/2/chart" uri="{6F2FDCE9-48DA-4B69-8628-5D25D57E5C99}">
              <c14:invertSolidFillFmt>
                <c14:spPr xmlns:c14="http://schemas.microsoft.com/office/drawing/2007/8/2/chart">
                  <a:solidFill>
                    <a:srgbClr val="FFFFFF"/>
                  </a:solidFill>
                  <a:ln cmpd="sng">
                    <a:solidFill>
                      <a:srgbClr val="000000"/>
                    </a:solidFill>
                  </a:ln>
                </c14:spPr>
              </c14:invertSolidFillFmt>
            </c:ext>
            <c:ext xmlns:c16="http://schemas.microsoft.com/office/drawing/2014/chart" uri="{C3380CC4-5D6E-409C-BE32-E72D297353CC}">
              <c16:uniqueId val="{00000001-ACAA-47BE-A997-5F25446BD302}"/>
            </c:ext>
          </c:extLst>
        </c:ser>
        <c:ser>
          <c:idx val="2"/>
          <c:order val="2"/>
          <c:tx>
            <c:v>Total dotación</c:v>
          </c:tx>
          <c:spPr>
            <a:solidFill>
              <a:srgbClr val="D3DEF2"/>
            </a:solidFill>
            <a:ln cmpd="sng">
              <a:solidFill>
                <a:srgbClr val="000000"/>
              </a:solidFill>
            </a:ln>
          </c:spPr>
          <c:invertIfNegative val="1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 lvl="0">
                  <a:defRPr sz="900" b="0" i="0">
                    <a:latin typeface="+mn-lt"/>
                  </a:defRPr>
                </a:pPr>
                <a:endParaRPr lang="es-CL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Hoja4!$B$6</c:f>
              <c:strCache>
                <c:ptCount val="1"/>
                <c:pt idx="0">
                  <c:v>TOTAL</c:v>
                </c:pt>
              </c:strCache>
            </c:strRef>
          </c:cat>
          <c:val>
            <c:numRef>
              <c:f>Hoja4!$E$6</c:f>
              <c:numCache>
                <c:formatCode>General</c:formatCode>
                <c:ptCount val="1"/>
                <c:pt idx="0">
                  <c:v>525</c:v>
                </c:pt>
              </c:numCache>
            </c:numRef>
          </c:val>
          <c:extLst>
            <c:ext xmlns:c14="http://schemas.microsoft.com/office/drawing/2007/8/2/chart" uri="{6F2FDCE9-48DA-4B69-8628-5D25D57E5C99}">
              <c14:invertSolidFillFmt>
                <c14:spPr xmlns:c14="http://schemas.microsoft.com/office/drawing/2007/8/2/chart">
                  <a:solidFill>
                    <a:srgbClr val="FFFFFF"/>
                  </a:solidFill>
                  <a:ln cmpd="sng">
                    <a:solidFill>
                      <a:srgbClr val="000000"/>
                    </a:solidFill>
                  </a:ln>
                </c14:spPr>
              </c14:invertSolidFillFmt>
            </c:ext>
            <c:ext xmlns:c16="http://schemas.microsoft.com/office/drawing/2014/chart" uri="{C3380CC4-5D6E-409C-BE32-E72D297353CC}">
              <c16:uniqueId val="{00000002-ACAA-47BE-A997-5F25446BD30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567794548"/>
        <c:axId val="654894784"/>
      </c:barChart>
      <c:catAx>
        <c:axId val="567794548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 lvl="0">
                  <a:defRPr b="0">
                    <a:solidFill>
                      <a:srgbClr val="000000"/>
                    </a:solidFill>
                    <a:latin typeface="+mn-lt"/>
                  </a:defRPr>
                </a:pPr>
                <a:endParaRPr lang="es-CL"/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txPr>
          <a:bodyPr/>
          <a:lstStyle/>
          <a:p>
            <a:pPr lvl="0">
              <a:defRPr b="0">
                <a:solidFill>
                  <a:srgbClr val="000000"/>
                </a:solidFill>
                <a:latin typeface="+mn-lt"/>
              </a:defRPr>
            </a:pPr>
            <a:endParaRPr lang="es-CL"/>
          </a:p>
        </c:txPr>
        <c:crossAx val="654894784"/>
        <c:crosses val="autoZero"/>
        <c:auto val="1"/>
        <c:lblAlgn val="ctr"/>
        <c:lblOffset val="100"/>
        <c:noMultiLvlLbl val="1"/>
      </c:catAx>
      <c:valAx>
        <c:axId val="654894784"/>
        <c:scaling>
          <c:orientation val="minMax"/>
        </c:scaling>
        <c:delete val="0"/>
        <c:axPos val="l"/>
        <c:majorGridlines>
          <c:spPr>
            <a:ln>
              <a:solidFill>
                <a:srgbClr val="B7B7B7"/>
              </a:solidFill>
            </a:ln>
          </c:spPr>
        </c:majorGridlines>
        <c:title>
          <c:tx>
            <c:rich>
              <a:bodyPr/>
              <a:lstStyle/>
              <a:p>
                <a:pPr lvl="0">
                  <a:defRPr b="0">
                    <a:solidFill>
                      <a:srgbClr val="000000"/>
                    </a:solidFill>
                    <a:latin typeface="+mn-lt"/>
                  </a:defRPr>
                </a:pPr>
                <a:endParaRPr lang="es-CL"/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spPr>
          <a:ln/>
        </c:spPr>
        <c:txPr>
          <a:bodyPr/>
          <a:lstStyle/>
          <a:p>
            <a:pPr lvl="0">
              <a:defRPr sz="900" b="0" i="0">
                <a:solidFill>
                  <a:srgbClr val="000000"/>
                </a:solidFill>
                <a:latin typeface="+mn-lt"/>
              </a:defRPr>
            </a:pPr>
            <a:endParaRPr lang="es-CL"/>
          </a:p>
        </c:txPr>
        <c:crossAx val="567794548"/>
        <c:crosses val="autoZero"/>
        <c:crossBetween val="between"/>
      </c:valAx>
    </c:plotArea>
    <c:legend>
      <c:legendPos val="b"/>
      <c:overlay val="0"/>
      <c:txPr>
        <a:bodyPr/>
        <a:lstStyle/>
        <a:p>
          <a:pPr lvl="0">
            <a:defRPr sz="900" b="0" i="0">
              <a:solidFill>
                <a:srgbClr val="1A1A1A"/>
              </a:solidFill>
              <a:latin typeface="+mn-lt"/>
            </a:defRPr>
          </a:pPr>
          <a:endParaRPr lang="es-CL"/>
        </a:p>
      </c:txPr>
    </c:legend>
    <c:plotVisOnly val="1"/>
    <c:dispBlanksAs val="zero"/>
    <c:showDLblsOverMax val="1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 lvl="0">
              <a:defRPr sz="1400" b="0" i="0">
                <a:solidFill>
                  <a:srgbClr val="757575"/>
                </a:solidFill>
                <a:latin typeface="+mn-lt"/>
              </a:defRPr>
            </a:pPr>
            <a:r>
              <a:rPr lang="es-CL" sz="1400" b="0" i="0">
                <a:solidFill>
                  <a:srgbClr val="757575"/>
                </a:solidFill>
                <a:latin typeface="+mn-lt"/>
              </a:rPr>
              <a:t>Distribución de Funcionarios por Estamento y Género</a:t>
            </a:r>
          </a:p>
        </c:rich>
      </c:tx>
      <c:overlay val="0"/>
    </c:title>
    <c:autoTitleDeleted val="0"/>
    <c:plotArea>
      <c:layout/>
      <c:barChart>
        <c:barDir val="col"/>
        <c:grouping val="clustered"/>
        <c:varyColors val="1"/>
        <c:ser>
          <c:idx val="0"/>
          <c:order val="0"/>
          <c:tx>
            <c:v>Mujeres</c:v>
          </c:tx>
          <c:spPr>
            <a:solidFill>
              <a:srgbClr val="004696"/>
            </a:solidFill>
            <a:ln cmpd="sng">
              <a:solidFill>
                <a:srgbClr val="000000"/>
              </a:solidFill>
            </a:ln>
          </c:spPr>
          <c:invertIfNegative val="1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 lvl="0">
                  <a:defRPr sz="900" b="0" i="0">
                    <a:latin typeface="+mn-lt"/>
                  </a:defRPr>
                </a:pPr>
                <a:endParaRPr lang="es-CL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Hoja4!$B$3:$B$5</c:f>
              <c:strCache>
                <c:ptCount val="3"/>
                <c:pt idx="0">
                  <c:v>Contrata</c:v>
                </c:pt>
                <c:pt idx="1">
                  <c:v>Planta</c:v>
                </c:pt>
                <c:pt idx="2">
                  <c:v>Honorarios</c:v>
                </c:pt>
              </c:strCache>
            </c:strRef>
          </c:cat>
          <c:val>
            <c:numRef>
              <c:f>Hoja4!$C$3:$C$5</c:f>
              <c:numCache>
                <c:formatCode>General</c:formatCode>
                <c:ptCount val="3"/>
                <c:pt idx="0">
                  <c:v>233</c:v>
                </c:pt>
                <c:pt idx="1">
                  <c:v>6</c:v>
                </c:pt>
                <c:pt idx="2">
                  <c:v>29</c:v>
                </c:pt>
              </c:numCache>
            </c:numRef>
          </c:val>
          <c:extLst>
            <c:ext xmlns:c14="http://schemas.microsoft.com/office/drawing/2007/8/2/chart" uri="{6F2FDCE9-48DA-4B69-8628-5D25D57E5C99}">
              <c14:invertSolidFillFmt>
                <c14:spPr xmlns:c14="http://schemas.microsoft.com/office/drawing/2007/8/2/chart">
                  <a:solidFill>
                    <a:srgbClr val="FFFFFF"/>
                  </a:solidFill>
                  <a:ln cmpd="sng">
                    <a:solidFill>
                      <a:srgbClr val="000000"/>
                    </a:solidFill>
                  </a:ln>
                </c14:spPr>
              </c14:invertSolidFillFmt>
            </c:ext>
            <c:ext xmlns:c16="http://schemas.microsoft.com/office/drawing/2014/chart" uri="{C3380CC4-5D6E-409C-BE32-E72D297353CC}">
              <c16:uniqueId val="{00000000-8C04-49E4-96AD-FE80F34A87C0}"/>
            </c:ext>
          </c:extLst>
        </c:ser>
        <c:ser>
          <c:idx val="1"/>
          <c:order val="1"/>
          <c:tx>
            <c:v>Hombres</c:v>
          </c:tx>
          <c:spPr>
            <a:solidFill>
              <a:srgbClr val="E94860"/>
            </a:solidFill>
            <a:ln cmpd="sng">
              <a:solidFill>
                <a:srgbClr val="000000"/>
              </a:solidFill>
            </a:ln>
          </c:spPr>
          <c:invertIfNegative val="1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 lvl="0">
                  <a:defRPr sz="900" b="0" i="0">
                    <a:latin typeface="+mn-lt"/>
                  </a:defRPr>
                </a:pPr>
                <a:endParaRPr lang="es-CL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Hoja4!$B$3:$B$5</c:f>
              <c:strCache>
                <c:ptCount val="3"/>
                <c:pt idx="0">
                  <c:v>Contrata</c:v>
                </c:pt>
                <c:pt idx="1">
                  <c:v>Planta</c:v>
                </c:pt>
                <c:pt idx="2">
                  <c:v>Honorarios</c:v>
                </c:pt>
              </c:strCache>
            </c:strRef>
          </c:cat>
          <c:val>
            <c:numRef>
              <c:f>Hoja4!$D$3:$D$5</c:f>
              <c:numCache>
                <c:formatCode>General</c:formatCode>
                <c:ptCount val="3"/>
                <c:pt idx="0">
                  <c:v>213</c:v>
                </c:pt>
                <c:pt idx="1">
                  <c:v>4</c:v>
                </c:pt>
                <c:pt idx="2">
                  <c:v>40</c:v>
                </c:pt>
              </c:numCache>
            </c:numRef>
          </c:val>
          <c:extLst>
            <c:ext xmlns:c14="http://schemas.microsoft.com/office/drawing/2007/8/2/chart" uri="{6F2FDCE9-48DA-4B69-8628-5D25D57E5C99}">
              <c14:invertSolidFillFmt>
                <c14:spPr xmlns:c14="http://schemas.microsoft.com/office/drawing/2007/8/2/chart">
                  <a:solidFill>
                    <a:srgbClr val="FFFFFF"/>
                  </a:solidFill>
                  <a:ln cmpd="sng">
                    <a:solidFill>
                      <a:srgbClr val="000000"/>
                    </a:solidFill>
                  </a:ln>
                </c14:spPr>
              </c14:invertSolidFillFmt>
            </c:ext>
            <c:ext xmlns:c16="http://schemas.microsoft.com/office/drawing/2014/chart" uri="{C3380CC4-5D6E-409C-BE32-E72D297353CC}">
              <c16:uniqueId val="{00000001-8C04-49E4-96AD-FE80F34A87C0}"/>
            </c:ext>
          </c:extLst>
        </c:ser>
        <c:ser>
          <c:idx val="2"/>
          <c:order val="2"/>
          <c:tx>
            <c:v>Total dotación</c:v>
          </c:tx>
          <c:spPr>
            <a:solidFill>
              <a:srgbClr val="D3DEF2"/>
            </a:solidFill>
            <a:ln cmpd="sng">
              <a:solidFill>
                <a:srgbClr val="000000"/>
              </a:solidFill>
            </a:ln>
          </c:spPr>
          <c:invertIfNegative val="1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 lvl="0">
                  <a:defRPr sz="900" b="0" i="0">
                    <a:latin typeface="+mn-lt"/>
                  </a:defRPr>
                </a:pPr>
                <a:endParaRPr lang="es-CL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Hoja4!$B$3:$B$5</c:f>
              <c:strCache>
                <c:ptCount val="3"/>
                <c:pt idx="0">
                  <c:v>Contrata</c:v>
                </c:pt>
                <c:pt idx="1">
                  <c:v>Planta</c:v>
                </c:pt>
                <c:pt idx="2">
                  <c:v>Honorarios</c:v>
                </c:pt>
              </c:strCache>
            </c:strRef>
          </c:cat>
          <c:val>
            <c:numRef>
              <c:f>Hoja4!$E$3:$E$5</c:f>
              <c:numCache>
                <c:formatCode>General</c:formatCode>
                <c:ptCount val="3"/>
                <c:pt idx="0">
                  <c:v>446</c:v>
                </c:pt>
                <c:pt idx="1">
                  <c:v>10</c:v>
                </c:pt>
                <c:pt idx="2">
                  <c:v>69</c:v>
                </c:pt>
              </c:numCache>
            </c:numRef>
          </c:val>
          <c:extLst>
            <c:ext xmlns:c14="http://schemas.microsoft.com/office/drawing/2007/8/2/chart" uri="{6F2FDCE9-48DA-4B69-8628-5D25D57E5C99}">
              <c14:invertSolidFillFmt>
                <c14:spPr xmlns:c14="http://schemas.microsoft.com/office/drawing/2007/8/2/chart">
                  <a:solidFill>
                    <a:srgbClr val="FFFFFF"/>
                  </a:solidFill>
                  <a:ln cmpd="sng">
                    <a:solidFill>
                      <a:srgbClr val="000000"/>
                    </a:solidFill>
                  </a:ln>
                </c14:spPr>
              </c14:invertSolidFillFmt>
            </c:ext>
            <c:ext xmlns:c16="http://schemas.microsoft.com/office/drawing/2014/chart" uri="{C3380CC4-5D6E-409C-BE32-E72D297353CC}">
              <c16:uniqueId val="{00000002-8C04-49E4-96AD-FE80F34A87C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126902600"/>
        <c:axId val="447513968"/>
      </c:barChart>
      <c:catAx>
        <c:axId val="2126902600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 lvl="0">
                  <a:defRPr b="0">
                    <a:solidFill>
                      <a:srgbClr val="000000"/>
                    </a:solidFill>
                    <a:latin typeface="+mn-lt"/>
                  </a:defRPr>
                </a:pPr>
                <a:endParaRPr lang="es-CL"/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txPr>
          <a:bodyPr/>
          <a:lstStyle/>
          <a:p>
            <a:pPr lvl="0">
              <a:defRPr sz="900" b="0" i="0">
                <a:solidFill>
                  <a:srgbClr val="000000"/>
                </a:solidFill>
                <a:latin typeface="+mn-lt"/>
              </a:defRPr>
            </a:pPr>
            <a:endParaRPr lang="es-CL"/>
          </a:p>
        </c:txPr>
        <c:crossAx val="447513968"/>
        <c:crosses val="autoZero"/>
        <c:auto val="1"/>
        <c:lblAlgn val="ctr"/>
        <c:lblOffset val="100"/>
        <c:noMultiLvlLbl val="1"/>
      </c:catAx>
      <c:valAx>
        <c:axId val="447513968"/>
        <c:scaling>
          <c:orientation val="minMax"/>
        </c:scaling>
        <c:delete val="0"/>
        <c:axPos val="l"/>
        <c:majorGridlines>
          <c:spPr>
            <a:ln>
              <a:solidFill>
                <a:srgbClr val="B7B7B7"/>
              </a:solidFill>
            </a:ln>
          </c:spPr>
        </c:majorGridlines>
        <c:title>
          <c:tx>
            <c:rich>
              <a:bodyPr/>
              <a:lstStyle/>
              <a:p>
                <a:pPr lvl="0">
                  <a:defRPr b="0">
                    <a:solidFill>
                      <a:srgbClr val="000000"/>
                    </a:solidFill>
                    <a:latin typeface="+mn-lt"/>
                  </a:defRPr>
                </a:pPr>
                <a:endParaRPr lang="es-CL"/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spPr>
          <a:ln/>
        </c:spPr>
        <c:txPr>
          <a:bodyPr/>
          <a:lstStyle/>
          <a:p>
            <a:pPr lvl="0">
              <a:defRPr sz="900" b="0" i="0">
                <a:solidFill>
                  <a:srgbClr val="000000"/>
                </a:solidFill>
                <a:latin typeface="+mn-lt"/>
              </a:defRPr>
            </a:pPr>
            <a:endParaRPr lang="es-CL"/>
          </a:p>
        </c:txPr>
        <c:crossAx val="2126902600"/>
        <c:crosses val="autoZero"/>
        <c:crossBetween val="between"/>
      </c:valAx>
    </c:plotArea>
    <c:legend>
      <c:legendPos val="b"/>
      <c:overlay val="0"/>
      <c:txPr>
        <a:bodyPr/>
        <a:lstStyle/>
        <a:p>
          <a:pPr lvl="0">
            <a:defRPr sz="900" b="0" i="0">
              <a:solidFill>
                <a:srgbClr val="1A1A1A"/>
              </a:solidFill>
              <a:latin typeface="+mn-lt"/>
            </a:defRPr>
          </a:pPr>
          <a:endParaRPr lang="es-CL"/>
        </a:p>
      </c:txPr>
    </c:legend>
    <c:plotVisOnly val="1"/>
    <c:dispBlanksAs val="zero"/>
    <c:showDLblsOverMax val="1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 lvl="0">
              <a:defRPr sz="1400" b="0" i="0">
                <a:solidFill>
                  <a:srgbClr val="757575"/>
                </a:solidFill>
                <a:latin typeface="+mn-lt"/>
              </a:defRPr>
            </a:pPr>
            <a:r>
              <a:rPr lang="es-CL" sz="1400" b="0" i="0">
                <a:solidFill>
                  <a:srgbClr val="757575"/>
                </a:solidFill>
                <a:latin typeface="+mn-lt"/>
              </a:rPr>
              <a:t>Distribución de Funcionarios por Estamento y Género</a:t>
            </a:r>
          </a:p>
        </c:rich>
      </c:tx>
      <c:layout>
        <c:manualLayout>
          <c:xMode val="edge"/>
          <c:yMode val="edge"/>
          <c:x val="0.10827777777777778"/>
          <c:y val="0"/>
        </c:manualLayout>
      </c:layout>
      <c:overlay val="0"/>
    </c:title>
    <c:autoTitleDeleted val="0"/>
    <c:plotArea>
      <c:layout/>
      <c:barChart>
        <c:barDir val="col"/>
        <c:grouping val="clustered"/>
        <c:varyColors val="1"/>
        <c:ser>
          <c:idx val="0"/>
          <c:order val="0"/>
          <c:tx>
            <c:v>Mujeres</c:v>
          </c:tx>
          <c:spPr>
            <a:solidFill>
              <a:srgbClr val="004696"/>
            </a:solidFill>
            <a:ln cmpd="sng">
              <a:solidFill>
                <a:srgbClr val="000000"/>
              </a:solidFill>
            </a:ln>
          </c:spPr>
          <c:invertIfNegative val="1"/>
          <c:dLbls>
            <c:dLbl>
              <c:idx val="2"/>
              <c:layout>
                <c:manualLayout>
                  <c:x val="-1.4388489208633094E-2"/>
                  <c:y val="0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FA6D-4A7C-BA51-672DDCC7BD79}"/>
                </c:ext>
              </c:extLst>
            </c:dLbl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Hoja4!$B$10:$B$15</c:f>
              <c:strCache>
                <c:ptCount val="6"/>
                <c:pt idx="0">
                  <c:v>Aut. De Gobierno</c:v>
                </c:pt>
                <c:pt idx="1">
                  <c:v>Directivos</c:v>
                </c:pt>
                <c:pt idx="2">
                  <c:v>Profesionales</c:v>
                </c:pt>
                <c:pt idx="3">
                  <c:v>Técnicos</c:v>
                </c:pt>
                <c:pt idx="4">
                  <c:v>Administrativos</c:v>
                </c:pt>
                <c:pt idx="5">
                  <c:v>Auxiliares</c:v>
                </c:pt>
              </c:strCache>
            </c:strRef>
          </c:cat>
          <c:val>
            <c:numRef>
              <c:f>Hoja4!$C$10:$C$15</c:f>
              <c:numCache>
                <c:formatCode>General</c:formatCode>
                <c:ptCount val="6"/>
                <c:pt idx="0">
                  <c:v>1</c:v>
                </c:pt>
                <c:pt idx="1">
                  <c:v>1</c:v>
                </c:pt>
                <c:pt idx="2">
                  <c:v>227</c:v>
                </c:pt>
                <c:pt idx="3">
                  <c:v>7</c:v>
                </c:pt>
                <c:pt idx="4">
                  <c:v>26</c:v>
                </c:pt>
                <c:pt idx="5">
                  <c:v>0</c:v>
                </c:pt>
              </c:numCache>
            </c:numRef>
          </c:val>
          <c:extLst>
            <c:ext xmlns:c14="http://schemas.microsoft.com/office/drawing/2007/8/2/chart" uri="{6F2FDCE9-48DA-4B69-8628-5D25D57E5C99}">
              <c14:invertSolidFillFmt>
                <c14:spPr xmlns:c14="http://schemas.microsoft.com/office/drawing/2007/8/2/chart">
                  <a:solidFill>
                    <a:srgbClr val="FFFFFF"/>
                  </a:solidFill>
                  <a:ln cmpd="sng">
                    <a:solidFill>
                      <a:srgbClr val="000000"/>
                    </a:solidFill>
                  </a:ln>
                </c14:spPr>
              </c14:invertSolidFillFmt>
            </c:ext>
            <c:ext xmlns:c16="http://schemas.microsoft.com/office/drawing/2014/chart" uri="{C3380CC4-5D6E-409C-BE32-E72D297353CC}">
              <c16:uniqueId val="{00000001-FA6D-4A7C-BA51-672DDCC7BD79}"/>
            </c:ext>
          </c:extLst>
        </c:ser>
        <c:ser>
          <c:idx val="1"/>
          <c:order val="1"/>
          <c:tx>
            <c:v>Hombres</c:v>
          </c:tx>
          <c:spPr>
            <a:solidFill>
              <a:srgbClr val="E94860"/>
            </a:solidFill>
            <a:ln cmpd="sng">
              <a:solidFill>
                <a:srgbClr val="000000"/>
              </a:solidFill>
            </a:ln>
          </c:spPr>
          <c:invertIfNegative val="1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Hoja4!$B$10:$B$15</c:f>
              <c:strCache>
                <c:ptCount val="6"/>
                <c:pt idx="0">
                  <c:v>Aut. De Gobierno</c:v>
                </c:pt>
                <c:pt idx="1">
                  <c:v>Directivos</c:v>
                </c:pt>
                <c:pt idx="2">
                  <c:v>Profesionales</c:v>
                </c:pt>
                <c:pt idx="3">
                  <c:v>Técnicos</c:v>
                </c:pt>
                <c:pt idx="4">
                  <c:v>Administrativos</c:v>
                </c:pt>
                <c:pt idx="5">
                  <c:v>Auxiliares</c:v>
                </c:pt>
              </c:strCache>
            </c:strRef>
          </c:cat>
          <c:val>
            <c:numRef>
              <c:f>Hoja4!$D$10:$D$15</c:f>
              <c:numCache>
                <c:formatCode>General</c:formatCode>
                <c:ptCount val="6"/>
                <c:pt idx="0">
                  <c:v>0</c:v>
                </c:pt>
                <c:pt idx="1">
                  <c:v>2</c:v>
                </c:pt>
                <c:pt idx="2">
                  <c:v>233</c:v>
                </c:pt>
                <c:pt idx="3">
                  <c:v>8</c:v>
                </c:pt>
                <c:pt idx="4">
                  <c:v>20</c:v>
                </c:pt>
                <c:pt idx="5">
                  <c:v>0</c:v>
                </c:pt>
              </c:numCache>
            </c:numRef>
          </c:val>
          <c:extLst>
            <c:ext xmlns:c14="http://schemas.microsoft.com/office/drawing/2007/8/2/chart" uri="{6F2FDCE9-48DA-4B69-8628-5D25D57E5C99}">
              <c14:invertSolidFillFmt>
                <c14:spPr xmlns:c14="http://schemas.microsoft.com/office/drawing/2007/8/2/chart">
                  <a:solidFill>
                    <a:srgbClr val="FFFFFF"/>
                  </a:solidFill>
                  <a:ln cmpd="sng">
                    <a:solidFill>
                      <a:srgbClr val="000000"/>
                    </a:solidFill>
                  </a:ln>
                </c14:spPr>
              </c14:invertSolidFillFmt>
            </c:ext>
            <c:ext xmlns:c16="http://schemas.microsoft.com/office/drawing/2014/chart" uri="{C3380CC4-5D6E-409C-BE32-E72D297353CC}">
              <c16:uniqueId val="{00000002-FA6D-4A7C-BA51-672DDCC7BD79}"/>
            </c:ext>
          </c:extLst>
        </c:ser>
        <c:ser>
          <c:idx val="2"/>
          <c:order val="2"/>
          <c:tx>
            <c:v>Total dotación</c:v>
          </c:tx>
          <c:spPr>
            <a:solidFill>
              <a:srgbClr val="D3DEF2"/>
            </a:solidFill>
            <a:ln cmpd="sng">
              <a:solidFill>
                <a:srgbClr val="000000"/>
              </a:solidFill>
            </a:ln>
          </c:spPr>
          <c:invertIfNegative val="1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Hoja4!$B$10:$B$15</c:f>
              <c:strCache>
                <c:ptCount val="6"/>
                <c:pt idx="0">
                  <c:v>Aut. De Gobierno</c:v>
                </c:pt>
                <c:pt idx="1">
                  <c:v>Directivos</c:v>
                </c:pt>
                <c:pt idx="2">
                  <c:v>Profesionales</c:v>
                </c:pt>
                <c:pt idx="3">
                  <c:v>Técnicos</c:v>
                </c:pt>
                <c:pt idx="4">
                  <c:v>Administrativos</c:v>
                </c:pt>
                <c:pt idx="5">
                  <c:v>Auxiliares</c:v>
                </c:pt>
              </c:strCache>
            </c:strRef>
          </c:cat>
          <c:val>
            <c:numRef>
              <c:f>Hoja4!$E$10:$E$15</c:f>
              <c:numCache>
                <c:formatCode>General</c:formatCode>
                <c:ptCount val="6"/>
                <c:pt idx="0">
                  <c:v>1</c:v>
                </c:pt>
                <c:pt idx="1">
                  <c:v>3</c:v>
                </c:pt>
                <c:pt idx="2">
                  <c:v>460</c:v>
                </c:pt>
                <c:pt idx="3">
                  <c:v>15</c:v>
                </c:pt>
                <c:pt idx="4">
                  <c:v>46</c:v>
                </c:pt>
                <c:pt idx="5">
                  <c:v>0</c:v>
                </c:pt>
              </c:numCache>
            </c:numRef>
          </c:val>
          <c:extLst>
            <c:ext xmlns:c14="http://schemas.microsoft.com/office/drawing/2007/8/2/chart" uri="{6F2FDCE9-48DA-4B69-8628-5D25D57E5C99}">
              <c14:invertSolidFillFmt>
                <c14:spPr xmlns:c14="http://schemas.microsoft.com/office/drawing/2007/8/2/chart">
                  <a:solidFill>
                    <a:srgbClr val="FFFFFF"/>
                  </a:solidFill>
                  <a:ln cmpd="sng">
                    <a:solidFill>
                      <a:srgbClr val="000000"/>
                    </a:solidFill>
                  </a:ln>
                </c14:spPr>
              </c14:invertSolidFillFmt>
            </c:ext>
            <c:ext xmlns:c16="http://schemas.microsoft.com/office/drawing/2014/chart" uri="{C3380CC4-5D6E-409C-BE32-E72D297353CC}">
              <c16:uniqueId val="{00000003-FA6D-4A7C-BA51-672DDCC7BD79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50"/>
        <c:axId val="1831050782"/>
        <c:axId val="736594354"/>
      </c:barChart>
      <c:catAx>
        <c:axId val="1831050782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 lvl="0">
                  <a:defRPr b="0">
                    <a:solidFill>
                      <a:srgbClr val="000000"/>
                    </a:solidFill>
                    <a:latin typeface="+mn-lt"/>
                  </a:defRPr>
                </a:pPr>
                <a:endParaRPr lang="es-CL"/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txPr>
          <a:bodyPr/>
          <a:lstStyle/>
          <a:p>
            <a:pPr lvl="0">
              <a:defRPr sz="900" b="0" i="0">
                <a:solidFill>
                  <a:srgbClr val="000000"/>
                </a:solidFill>
                <a:latin typeface="+mn-lt"/>
              </a:defRPr>
            </a:pPr>
            <a:endParaRPr lang="es-CL"/>
          </a:p>
        </c:txPr>
        <c:crossAx val="736594354"/>
        <c:crosses val="autoZero"/>
        <c:auto val="1"/>
        <c:lblAlgn val="ctr"/>
        <c:lblOffset val="100"/>
        <c:noMultiLvlLbl val="1"/>
      </c:catAx>
      <c:valAx>
        <c:axId val="736594354"/>
        <c:scaling>
          <c:orientation val="minMax"/>
        </c:scaling>
        <c:delete val="0"/>
        <c:axPos val="l"/>
        <c:majorGridlines>
          <c:spPr>
            <a:ln>
              <a:solidFill>
                <a:srgbClr val="B7B7B7"/>
              </a:solidFill>
            </a:ln>
          </c:spPr>
        </c:majorGridlines>
        <c:title>
          <c:tx>
            <c:rich>
              <a:bodyPr/>
              <a:lstStyle/>
              <a:p>
                <a:pPr lvl="0">
                  <a:defRPr b="0">
                    <a:solidFill>
                      <a:srgbClr val="000000"/>
                    </a:solidFill>
                    <a:latin typeface="+mn-lt"/>
                  </a:defRPr>
                </a:pPr>
                <a:endParaRPr lang="es-CL"/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spPr>
          <a:ln/>
        </c:spPr>
        <c:txPr>
          <a:bodyPr/>
          <a:lstStyle/>
          <a:p>
            <a:pPr lvl="0">
              <a:defRPr sz="900" b="0" i="0">
                <a:solidFill>
                  <a:srgbClr val="000000"/>
                </a:solidFill>
                <a:latin typeface="+mn-lt"/>
              </a:defRPr>
            </a:pPr>
            <a:endParaRPr lang="es-CL"/>
          </a:p>
        </c:txPr>
        <c:crossAx val="1831050782"/>
        <c:crosses val="autoZero"/>
        <c:crossBetween val="between"/>
      </c:valAx>
    </c:plotArea>
    <c:legend>
      <c:legendPos val="b"/>
      <c:overlay val="0"/>
      <c:txPr>
        <a:bodyPr/>
        <a:lstStyle/>
        <a:p>
          <a:pPr lvl="0">
            <a:defRPr sz="900" b="0" i="0">
              <a:solidFill>
                <a:srgbClr val="1A1A1A"/>
              </a:solidFill>
              <a:latin typeface="+mn-lt"/>
            </a:defRPr>
          </a:pPr>
          <a:endParaRPr lang="es-CL"/>
        </a:p>
      </c:txPr>
    </c:legend>
    <c:plotVisOnly val="1"/>
    <c:dispBlanksAs val="zero"/>
    <c:showDLblsOverMax val="1"/>
  </c:chart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Institucional 2024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4696"/>
      </a:accent1>
      <a:accent2>
        <a:srgbClr val="E94860"/>
      </a:accent2>
      <a:accent3>
        <a:srgbClr val="D3DEF2"/>
      </a:accent3>
      <a:accent4>
        <a:srgbClr val="007096"/>
      </a:accent4>
      <a:accent5>
        <a:srgbClr val="6BCCD6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ASpBl6FyYdYCP2LhRnLiZ0jdSow==">CgMxLjA4AHIhMUZJbTNZdU13enczUWpOTVNMbHlkd2h5ZUVRalMwV2RF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12</Pages>
  <Words>1838</Words>
  <Characters>10115</Characters>
  <Application>Microsoft Office Word</Application>
  <DocSecurity>0</DocSecurity>
  <Lines>84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Juan Ignacio Cancino Pacheco</dc:creator>
  <cp:lastModifiedBy>JUAN IGNACIO CANCINO PACHECO</cp:lastModifiedBy>
  <cp:revision>4</cp:revision>
  <dcterms:created xsi:type="dcterms:W3CDTF">2025-10-22T14:05:00Z</dcterms:created>
  <dcterms:modified xsi:type="dcterms:W3CDTF">2025-10-22T15:11:00Z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2024-04-23T00:00:00Z</vt:filetime>
  </property>
  <property fmtid="{D5CDD505-2E9C-101B-9397-08002B2CF9AE}" pid="3" name="LastSaved">
    <vt:filetime>2024-07-23T00:00:00Z</vt:filetime>
  </property>
</Properties>
</file>